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and Test Policy</w:t>
      </w:r>
    </w:p>
    <w:p>
      <w:r>
        <w:t>CAA/MAA Joint Approval Workbench Programme</w:t>
        <w:br/>
        <w:t>Version 1.0</w:t>
        <w:br/>
        <w:t>Approved: 2026-04-23</w:t>
      </w:r>
    </w:p>
    <w:p/>
    <w:p>
      <w:pPr>
        <w:pStyle w:val="Heading1"/>
      </w:pPr>
      <w:r>
        <w:t>1. Policy Scope</w:t>
      </w:r>
    </w:p>
    <w:p>
      <w:r>
        <w:t>This policy establishes organisation-wide quality and test governance for the CAA/MAA Workbench programme, covering all development, testing, and release activities.</w:t>
      </w:r>
    </w:p>
    <w:p>
      <w:pPr>
        <w:pStyle w:val="Heading1"/>
      </w:pPr>
      <w:r>
        <w:t>2. Policy Authority</w:t>
      </w:r>
    </w:p>
    <w:p>
      <w:r>
        <w:t>Approved by CAA/MAA Joint Steering Committee. Mandatory for all delivery teams. Enforced by Test Manager and independent assurance function.</w:t>
      </w:r>
    </w:p>
    <w:p>
      <w:pPr>
        <w:pStyle w:val="Heading1"/>
      </w:pPr>
      <w:r>
        <w:t>3. Quality Objectives</w:t>
      </w:r>
    </w:p>
    <w:p>
      <w:r>
        <w:t>Achieve &gt;95% functional correctness, 100% critical-path safety validation (K1-K8 keystones), 62.7%+ test coverage, zero open critical defects at release, WCAG 2.2 AA accessibility, CAP 722H security compliance.</w:t>
      </w:r>
    </w:p>
    <w:p>
      <w:pPr>
        <w:pStyle w:val="Heading1"/>
      </w:pPr>
      <w:r>
        <w:t>4. Definitions</w:t>
      </w:r>
    </w:p>
    <w:p>
      <w:r>
        <w:t>Quality Characteristic: ISO 25010 property (completeness, correctness, clarity, consistency, safety, security, accessibility, performance). Test Level: Unit/Integration/System/UAT. Quality Gate: Release criterion.</w:t>
      </w:r>
    </w:p>
    <w:p>
      <w:pPr>
        <w:pStyle w:val="Heading1"/>
      </w:pPr>
      <w:r>
        <w:t>5. Measurement Framework</w:t>
      </w:r>
    </w:p>
    <w:p>
      <w:r>
        <w:t>Metrics collected per sprint: pass rate, defect rate, coverage %, flake rate, MTTR. Baselines: 95% pass, &lt;5% major defects, &gt;62% coverage. Escalation: Metrics below baseline trigger immediate action plan.</w:t>
      </w:r>
    </w:p>
    <w:p>
      <w:pPr>
        <w:pStyle w:val="Heading1"/>
      </w:pPr>
      <w:r>
        <w:t>6. Process Requirements</w:t>
      </w:r>
    </w:p>
    <w:p>
      <w:r>
        <w:t>All features require test design per ISO 29119-3. Risk-based technique selection mandatory. Traceability RTM maintained. Code reviews by 2+ reviewers. Security gate before staging.</w:t>
      </w:r>
    </w:p>
    <w:p>
      <w:pPr>
        <w:pStyle w:val="Heading1"/>
      </w:pPr>
      <w:r>
        <w:t>7. Compliance Standards</w:t>
      </w:r>
    </w:p>
    <w:p>
      <w:r>
        <w:t>Testing aligns to ISO 29119-3, TMap, AMLAS. Security testing per OWASP DAST. Accessibility per WCAG 2.2 AA. Regulatory evidence per CAP 722H, JARUS SORA v2.5, SACE guidance.</w:t>
      </w:r>
    </w:p>
    <w:p>
      <w:pPr>
        <w:pStyle w:val="Heading1"/>
      </w:pPr>
      <w:r>
        <w:t>8. Quality Improvement Cycle</w:t>
      </w:r>
    </w:p>
    <w:p>
      <w:r>
        <w:t>Monthly retrospectives review metrics. Lessons learned captured per major release. Root-cause analysis for all critical defects. Continuous improvement backlog prioritised by WSJF.</w:t>
      </w:r>
    </w:p>
    <w:p>
      <w:pPr>
        <w:pStyle w:val="Heading1"/>
      </w:pPr>
      <w:r>
        <w:t>9. Authority and Escalation</w:t>
      </w:r>
    </w:p>
    <w:p>
      <w:r>
        <w:t>Test Manager approves release plan. MAA Lead Inspector approves safety sign-off. CAA-CTS/Innovation Hub provides independent assurance. DDH approves production deployment.</w:t>
      </w:r>
    </w:p>
    <w:p>
      <w:pPr>
        <w:pStyle w:val="Heading1"/>
      </w:pPr>
      <w:r>
        <w:t>10. Review and Approval</w:t>
      </w:r>
    </w:p>
    <w:p>
      <w:r>
        <w:t>Policy reviewed annually. Amendments require CAA/MAA Joint Steering Committee approval. Last reviewed: 2026-04-23. Next review: 2027-04-23.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