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Readiness Report — Workbench v1.0</w:t>
      </w:r>
    </w:p>
    <w:p>
      <w:r>
        <w:t>Classification: OFFICIAL</w:t>
      </w:r>
    </w:p>
    <w:p/>
    <w:p>
      <w:pPr>
        <w:pStyle w:val="Heading1"/>
      </w:pPr>
      <w:r>
        <w:t>Executive Summary</w:t>
      </w:r>
    </w:p>
    <w:p>
      <w:r>
        <w:t>Template for the release-readiness assessment. Populate for each release candidate (v1.0, v1.0-minor, v1.1, v2.0).</w:t>
      </w:r>
    </w:p>
    <w:p>
      <w:pPr>
        <w:pStyle w:val="Heading1"/>
      </w:pPr>
      <w:r>
        <w:t>Release Identifier</w:t>
      </w:r>
    </w:p>
    <w:p>
      <w:r>
        <w:t>v1.0 / Release Candidate N / Date: YYYY-MM-DD</w:t>
      </w:r>
    </w:p>
    <w:p>
      <w:pPr>
        <w:pStyle w:val="Heading1"/>
      </w:pPr>
      <w:r>
        <w:t>Gate Status</w:t>
      </w:r>
    </w:p>
    <w:p>
      <w:pPr>
        <w:pStyle w:val="ListBullet"/>
      </w:pPr>
      <w:r>
        <w:t>Gate 1 Unit perf — [Pass/Fail]</w:t>
      </w:r>
    </w:p>
    <w:p>
      <w:pPr>
        <w:pStyle w:val="ListBullet"/>
      </w:pPr>
      <w:r>
        <w:t>Gate 2 Integration — [Pass/Fail]</w:t>
      </w:r>
    </w:p>
    <w:p>
      <w:pPr>
        <w:pStyle w:val="ListBullet"/>
      </w:pPr>
      <w:r>
        <w:t>Gate 3 Load 8h — [Pass/Fail]</w:t>
      </w:r>
    </w:p>
    <w:p>
      <w:pPr>
        <w:pStyle w:val="ListBullet"/>
      </w:pPr>
      <w:r>
        <w:t>Gate 4 Stress 2x — [Pass/Fail]</w:t>
      </w:r>
    </w:p>
    <w:p>
      <w:pPr>
        <w:pStyle w:val="ListBullet"/>
      </w:pPr>
      <w:r>
        <w:t>Gate 5 Soak 72h — [Pass/Fail]</w:t>
      </w:r>
    </w:p>
    <w:p>
      <w:pPr>
        <w:pStyle w:val="ListBullet"/>
      </w:pPr>
      <w:r>
        <w:t>Gate 6 Volume 10-year — [Pass/Fail]</w:t>
      </w:r>
    </w:p>
    <w:p>
      <w:pPr>
        <w:pStyle w:val="ListBullet"/>
      </w:pPr>
      <w:r>
        <w:t>Gate 7 Security-perf + red team — [Pass/Fail]</w:t>
      </w:r>
    </w:p>
    <w:p>
      <w:pPr>
        <w:pStyle w:val="ListBullet"/>
      </w:pPr>
      <w:r>
        <w:t>Gate 8 Twin-sample regression &lt;30 min — [Pass/Fail]</w:t>
      </w:r>
    </w:p>
    <w:p>
      <w:pPr>
        <w:pStyle w:val="ListBullet"/>
      </w:pPr>
      <w:r>
        <w:t>Gate 9 Keystones K1-K8 confidence &gt;=9 — [Pass/Fail]</w:t>
      </w:r>
    </w:p>
    <w:p>
      <w:pPr>
        <w:pStyle w:val="ListBullet"/>
      </w:pPr>
      <w:r>
        <w:t>Gate 10 WCAG 2.2 AA — [Pass/Fail]</w:t>
      </w:r>
    </w:p>
    <w:p>
      <w:pPr>
        <w:pStyle w:val="ListBullet"/>
      </w:pPr>
      <w:r>
        <w:t>Gate 11 Classification two-person review — [Pass/Fail]</w:t>
      </w:r>
    </w:p>
    <w:p>
      <w:pPr>
        <w:pStyle w:val="ListBullet"/>
      </w:pPr>
      <w:r>
        <w:t>Gate 12 Independent MAA-CTS / CAA Innovation Hub sign-off — [Pass/Fail]</w:t>
      </w:r>
    </w:p>
    <w:p>
      <w:pPr>
        <w:pStyle w:val="Heading1"/>
      </w:pPr>
      <w:r>
        <w:t>Coverage Metrics</w:t>
      </w:r>
    </w:p>
    <w:p>
      <w:pPr>
        <w:pStyle w:val="ListBullet"/>
      </w:pPr>
      <w:r>
        <w:t>REQ coverage: X/20 (Y%)</w:t>
      </w:r>
    </w:p>
    <w:p>
      <w:pPr>
        <w:pStyle w:val="ListBullet"/>
      </w:pPr>
      <w:r>
        <w:t>Keystone coverage: X/8 (Y% adequate)</w:t>
      </w:r>
    </w:p>
    <w:p>
      <w:pPr>
        <w:pStyle w:val="ListBullet"/>
      </w:pPr>
      <w:r>
        <w:t>Gate coverage: X/12 passing</w:t>
      </w:r>
    </w:p>
    <w:p>
      <w:pPr>
        <w:pStyle w:val="ListBullet"/>
      </w:pPr>
      <w:r>
        <w:t>Overall programme adequacy: X%</w:t>
      </w:r>
    </w:p>
    <w:p>
      <w:pPr>
        <w:pStyle w:val="ListBullet"/>
      </w:pPr>
      <w:r>
        <w:t>Target for release: &gt;=85%</w:t>
      </w:r>
    </w:p>
    <w:p>
      <w:pPr>
        <w:pStyle w:val="Heading1"/>
      </w:pPr>
      <w:r>
        <w:t>Defects</w:t>
      </w:r>
    </w:p>
    <w:p>
      <w:pPr>
        <w:pStyle w:val="ListBullet"/>
      </w:pPr>
      <w:r>
        <w:t>Open critical: X (must be zero)</w:t>
      </w:r>
    </w:p>
    <w:p>
      <w:pPr>
        <w:pStyle w:val="ListBullet"/>
      </w:pPr>
      <w:r>
        <w:t>Open major: X (documented + accepted by panel)</w:t>
      </w:r>
    </w:p>
    <w:p>
      <w:pPr>
        <w:pStyle w:val="ListBullet"/>
      </w:pPr>
      <w:r>
        <w:t>Open minor: X (deferred list)</w:t>
      </w:r>
    </w:p>
    <w:p>
      <w:pPr>
        <w:pStyle w:val="ListBullet"/>
      </w:pPr>
      <w:r>
        <w:t>Flake rate (30-day rolling): X% (must be &lt;2%)</w:t>
      </w:r>
    </w:p>
    <w:p>
      <w:pPr>
        <w:pStyle w:val="Heading1"/>
      </w:pPr>
      <w:r>
        <w:t>Sign-offs</w:t>
      </w:r>
    </w:p>
    <w:p>
      <w:pPr>
        <w:pStyle w:val="ListBullet"/>
      </w:pPr>
      <w:r>
        <w:t>MAA Lead Inspector: ____________________  Date: __________</w:t>
      </w:r>
    </w:p>
    <w:p>
      <w:pPr>
        <w:pStyle w:val="ListBullet"/>
      </w:pPr>
      <w:r>
        <w:t>CAA Innovation Hub: ____________________  Date: __________</w:t>
      </w:r>
    </w:p>
    <w:p>
      <w:pPr>
        <w:pStyle w:val="ListBullet"/>
      </w:pPr>
      <w:r>
        <w:t>Workbench Product Owner: ____________________  Date: __________</w:t>
      </w:r>
    </w:p>
    <w:p>
      <w:pPr>
        <w:pStyle w:val="ListBullet"/>
      </w:pPr>
      <w:r>
        <w:t>Delivery Duty Holder: ____________________  Date: __________</w:t>
      </w:r>
    </w:p>
    <w:p>
      <w:pPr>
        <w:pStyle w:val="ListBullet"/>
      </w:pPr>
      <w:r>
        <w:t>RAISO: ____________________  Date: __________</w:t>
      </w:r>
    </w:p>
    <w:p>
      <w:pPr>
        <w:pStyle w:val="Heading1"/>
      </w:pPr>
      <w:r>
        <w:t>Decision</w:t>
      </w:r>
    </w:p>
    <w:p>
      <w:r>
        <w:t>GO / NO-GO / CONDITIONAL (specify conditions)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