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Risk-Based Exploratory Test Charter</w:t>
      </w:r>
    </w:p>
    <w:p>
      <w:r>
        <w:t>CAA Workbench Programme — Keystones K1–K8</w:t>
      </w:r>
    </w:p>
    <w:p>
      <w:r>
        <w:t>Targeting highest-risk features for exploratory testing</w:t>
      </w:r>
    </w:p>
    <w:p>
      <w:pPr>
        <w:pStyle w:val="Heading1"/>
      </w:pPr>
      <w:r>
        <w:t>Objective</w:t>
      </w:r>
    </w:p>
    <w:p>
      <w:r>
        <w:t>Allocate exploratory effort toward keystones with highest business/technical risk.</w:t>
      </w:r>
    </w:p>
    <w:p>
      <w:pPr>
        <w:pStyle w:val="Heading1"/>
      </w:pPr>
      <w:r>
        <w:t>Risk-Ranked Keystones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Keystone</w:t>
            </w:r>
          </w:p>
        </w:tc>
        <w:tc>
          <w:tcPr>
            <w:tcW w:type="dxa" w:w="2160"/>
          </w:tcPr>
          <w:p>
            <w:r>
              <w:t>Risk Level</w:t>
            </w:r>
          </w:p>
        </w:tc>
        <w:tc>
          <w:tcPr>
            <w:tcW w:type="dxa" w:w="2160"/>
          </w:tcPr>
          <w:p>
            <w:r>
              <w:t>Exploration Priority</w:t>
            </w:r>
          </w:p>
        </w:tc>
        <w:tc>
          <w:tcPr>
            <w:tcW w:type="dxa" w:w="2160"/>
          </w:tcPr>
          <w:p>
            <w:r>
              <w:t>Example Questions</w:t>
            </w:r>
          </w:p>
        </w:tc>
      </w:tr>
      <w:tr>
        <w:tc>
          <w:tcPr>
            <w:tcW w:type="dxa" w:w="2160"/>
          </w:tcPr>
          <w:p>
            <w:r>
              <w:t>K9: Readiness Check Gate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Can authority accidentally approve non-compliant apps?</w:t>
            </w:r>
          </w:p>
        </w:tc>
      </w:tr>
      <w:tr>
        <w:tc>
          <w:tcPr>
            <w:tcW w:type="dxa" w:w="2160"/>
          </w:tcPr>
          <w:p>
            <w:r>
              <w:t>K5: Authority Override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Are audit logs complete for all override actions?</w:t>
            </w:r>
          </w:p>
        </w:tc>
      </w:tr>
      <w:tr>
        <w:tc>
          <w:tcPr>
            <w:tcW w:type="dxa" w:w="2160"/>
          </w:tcPr>
          <w:p>
            <w:r>
              <w:t>K3: Coverage Matrix Compute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Does algorithm timeout on large documents?</w:t>
            </w:r>
          </w:p>
        </w:tc>
      </w:tr>
      <w:tr>
        <w:tc>
          <w:tcPr>
            <w:tcW w:type="dxa" w:w="2160"/>
          </w:tcPr>
          <w:p>
            <w:r>
              <w:t>K7: Multi-Stakeholder Collab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Can concurrent reviewers corrupt shared state?</w:t>
            </w:r>
          </w:p>
        </w:tc>
      </w:tr>
      <w:tr>
        <w:tc>
          <w:tcPr>
            <w:tcW w:type="dxa" w:w="2160"/>
          </w:tcPr>
          <w:p>
            <w:r>
              <w:t>K6: Applicant Revision Cycle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How many iterations before applicant frustration?</w:t>
            </w:r>
          </w:p>
        </w:tc>
      </w:tr>
      <w:tr>
        <w:tc>
          <w:tcPr>
            <w:tcW w:type="dxa" w:w="2160"/>
          </w:tcPr>
          <w:p>
            <w:r>
              <w:t>K4: Readiness Check Gate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Are all 6 conditions correctly evaluated?</w:t>
            </w:r>
          </w:p>
        </w:tc>
      </w:tr>
      <w:tr>
        <w:tc>
          <w:tcPr>
            <w:tcW w:type="dxa" w:w="2160"/>
          </w:tcPr>
          <w:p>
            <w:r>
              <w:t>K2: Pack Upload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Are all file types properly scanned?</w:t>
            </w:r>
          </w:p>
        </w:tc>
      </w:tr>
      <w:tr>
        <w:tc>
          <w:tcPr>
            <w:tcW w:type="dxa" w:w="2160"/>
          </w:tcPr>
          <w:p>
            <w:r>
              <w:t>K1: Applicant Registration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Are org names validated correctly?</w:t>
            </w:r>
          </w:p>
        </w:tc>
      </w:tr>
    </w:tbl>
    <w:p>
      <w:pPr>
        <w:pStyle w:val="Heading1"/>
      </w:pPr>
      <w:r>
        <w:t>Exploration Roadmap</w:t>
      </w:r>
    </w:p>
    <w:p>
      <w:pPr>
        <w:pStyle w:val="ListNumber"/>
      </w:pPr>
      <w:r>
        <w:t>Session 1: P1 keystones (K9, K5) — 2 hours</w:t>
      </w:r>
    </w:p>
    <w:p>
      <w:pPr>
        <w:pStyle w:val="ListNumber"/>
      </w:pPr>
      <w:r>
        <w:t>Session 2: P2 keystones (K3, K7) — 2 hours</w:t>
      </w:r>
    </w:p>
    <w:p>
      <w:pPr>
        <w:pStyle w:val="ListNumber"/>
      </w:pPr>
      <w:r>
        <w:t>Session 3: P3 keystones (K6, K4) — 2 hours</w:t>
      </w:r>
    </w:p>
    <w:p>
      <w:pPr>
        <w:pStyle w:val="ListNumber"/>
      </w:pPr>
      <w:r>
        <w:t>Session 4: P4 keystones (K2, K1) + regression — 1 hour</w:t>
      </w:r>
    </w:p>
    <w:p>
      <w:pPr>
        <w:pStyle w:val="Heading1"/>
      </w:pPr>
      <w:r>
        <w:t>Expected Outcomes</w:t>
      </w:r>
    </w:p>
    <w:p>
      <w:pPr>
        <w:pStyle w:val="ListBullet"/>
      </w:pPr>
      <w:r>
        <w:t>Identify critical defects in high-risk areas</w:t>
      </w:r>
    </w:p>
    <w:p>
      <w:pPr>
        <w:pStyle w:val="ListBullet"/>
      </w:pPr>
      <w:r>
        <w:t>Validate control effectiveness (audit trails, permissions)</w:t>
      </w:r>
    </w:p>
    <w:p>
      <w:pPr>
        <w:pStyle w:val="ListBullet"/>
      </w:pPr>
      <w:r>
        <w:t>Discover edge cases not covered by scripted tests</w:t>
      </w:r>
    </w:p>
    <w:p>
      <w:pPr>
        <w:pStyle w:val="ListBullet"/>
      </w:pPr>
      <w:r>
        <w:t>Build confidence in authority decision paths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