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Integration Test (SIT) and User Acceptance Test (UAT) Plan</w:t>
      </w:r>
    </w:p>
    <w:p>
      <w:r>
        <w:t>CAA/MAA Joint Approval Workbench v1.0</w:t>
      </w:r>
    </w:p>
    <w:p>
      <w:r>
        <w:t>Document Version: 1.0 | Approved: 2026-04-23</w:t>
      </w:r>
    </w:p>
    <w:p/>
    <w:p>
      <w:pPr>
        <w:pStyle w:val="Heading2"/>
      </w:pPr>
      <w:r>
        <w:t>SIT Scope</w:t>
      </w:r>
    </w:p>
    <w:p>
      <w:r>
        <w:t>Integration of all services (Artefact Detector TO-001 through ML Forensic TO-015), workflows (applicant → regulator → case archive), integrations (MOD/CAA IdP, clause library, evidence store), and APIs. Coverage: F01-F30 features, all 8 keystones K1-K8.</w:t>
      </w:r>
    </w:p>
    <w:p>
      <w:pPr>
        <w:pStyle w:val="Heading2"/>
      </w:pPr>
      <w:r>
        <w:t>SIT Objectives</w:t>
      </w:r>
    </w:p>
    <w:p>
      <w:r>
        <w:t>Verify component interfaces (data contracts, schemas), end-to-end workflows (pack submission through decision-record export), security boundaries (classification tier segregation), performance under load (Cerf PE Gates 1-8).</w:t>
      </w:r>
    </w:p>
    <w:p>
      <w:pPr>
        <w:pStyle w:val="Heading2"/>
      </w:pPr>
      <w:r>
        <w:t>SIT Approach</w:t>
      </w:r>
    </w:p>
    <w:p>
      <w:r>
        <w:t>Test matrix 20 integration pairs (core services). Dual execution: DEV environment (daily CI pipeline) + STG environment (weekly regression). Twin-sample regression (Scotland PDRA-01 vs SORA swarm) as blocker. Smoke suite of 12 critical paths.</w:t>
      </w:r>
    </w:p>
    <w:p>
      <w:pPr>
        <w:pStyle w:val="Heading2"/>
      </w:pPr>
      <w:r>
        <w:t>SIT Entry Criteria</w:t>
      </w:r>
    </w:p>
    <w:p>
      <w:r>
        <w:t>Unit test pass rate &gt;95%. Code review approved. Static analysis green. All REQ001-REQ020 coded and peer-reviewed. Test data prepared (Scotland historical PDRA-01, SORA test swarm, edge cases).</w:t>
      </w:r>
    </w:p>
    <w:p>
      <w:pPr>
        <w:pStyle w:val="Heading2"/>
      </w:pPr>
      <w:r>
        <w:t>SIT Exit Criteria</w:t>
      </w:r>
    </w:p>
    <w:p>
      <w:r>
        <w:t>Integration test pass rate &gt;95%. Twin-sample end-to-end &lt;30 min. Zero critical/major open bugs. Coverage of F01-F30 &gt;90%. Security scan green. Performance under load &lt;5s p95 (Cerf PE Gate 1). Ready for UAT staging.</w:t>
      </w:r>
    </w:p>
    <w:p>
      <w:pPr>
        <w:pStyle w:val="Heading2"/>
      </w:pPr>
      <w:r>
        <w:t>UAT Scope</w:t>
      </w:r>
    </w:p>
    <w:p>
      <w:r>
        <w:t>User journeys: applicant submission, regulator review-and-deliberation, decision-record review. Panel usability (blind-fold review of keystones K1-K8 confidence). Business readiness (case tracking, audit trail, escalation paths).</w:t>
      </w:r>
    </w:p>
    <w:p>
      <w:pPr>
        <w:pStyle w:val="Heading2"/>
      </w:pPr>
      <w:r>
        <w:t>UAT Participants</w:t>
      </w:r>
    </w:p>
    <w:p>
      <w:r>
        <w:t>Applicant domain experts (2x), CAA case officers (3x), MAA Lead Inspector (1x), panel members (5x rotating). Facilitated by independent assurance (MAA-CTS). Scripted scenarios + exploratory charter.</w:t>
      </w:r>
    </w:p>
    <w:p>
      <w:pPr>
        <w:pStyle w:val="Heading2"/>
      </w:pPr>
      <w:r>
        <w:t>UAT Entry Criteria</w:t>
      </w:r>
    </w:p>
    <w:p>
      <w:r>
        <w:t>SIT complete and passed. STG environment stable 48h. Test data sets approved. User documentation drafted. UAT scripts and charters signed off. Panel participants briefed.</w:t>
      </w:r>
    </w:p>
    <w:p>
      <w:pPr>
        <w:pStyle w:val="Heading2"/>
      </w:pPr>
      <w:r>
        <w:t>UAT Exit Criteria</w:t>
      </w:r>
    </w:p>
    <w:p>
      <w:r>
        <w:t>All UAT scripts passed or documented-waiver by MAA Lead Inspector. Panel blind-fold review: K1-K8 confidence ≥9/10. Applicant satisfied with submission UX. Case officer satisfied with review and decision flow. Zero UAT blockers. Go/no-go sign-off by DDH.</w:t>
      </w:r>
    </w:p>
    <w:p>
      <w:pPr>
        <w:pStyle w:val="Heading2"/>
      </w:pPr>
      <w:r>
        <w:t>Defect Management</w:t>
      </w:r>
    </w:p>
    <w:p>
      <w:r>
        <w:t>Critical: Fix immediately, re-test. Major: Fix before release or escalate to CAA/MAA for waiver. Minor: Backlog for v1.0-minor. UAT defects logged in public tracker with 24h triage SLA. All critical/major root-caused post-release.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