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Script: CAA Applicant Intake &amp; Readiness Check</w:t>
      </w:r>
    </w:p>
    <w:p>
      <w:r>
        <w:t>Programme: CAA/MAA Workbench</w:t>
      </w:r>
    </w:p>
    <w:p>
      <w:r>
        <w:t>Date: 2026-04-23</w:t>
      </w:r>
    </w:p>
    <w:p>
      <w:r>
        <w:t>Prepared for: Quality Assurance Team</w:t>
      </w:r>
    </w:p>
    <w:p>
      <w:pPr>
        <w:pStyle w:val="Heading1"/>
      </w:pPr>
      <w:r>
        <w:t>1. Preparation</w:t>
      </w:r>
    </w:p>
    <w:p>
      <w:r>
        <w:t>Ensure the following before starting test execution:</w:t>
      </w:r>
    </w:p>
    <w:p>
      <w:pPr>
        <w:pStyle w:val="ListBullet"/>
      </w:pPr>
      <w:r>
        <w:t>Test environment (DEV/QA) is running and accessible</w:t>
      </w:r>
    </w:p>
    <w:p>
      <w:pPr>
        <w:pStyle w:val="ListBullet"/>
      </w:pPr>
      <w:r>
        <w:t>Test data seeded in database (20 applicant records)</w:t>
      </w:r>
    </w:p>
    <w:p>
      <w:pPr>
        <w:pStyle w:val="ListBullet"/>
      </w:pPr>
      <w:r>
        <w:t>Test user credentials available (alice/bob/charlie)</w:t>
      </w:r>
    </w:p>
    <w:p>
      <w:pPr>
        <w:pStyle w:val="ListBullet"/>
      </w:pPr>
      <w:r>
        <w:t>All supporting documents prepared and uploaded</w:t>
      </w:r>
    </w:p>
    <w:p>
      <w:pPr>
        <w:pStyle w:val="ListBullet"/>
      </w:pPr>
      <w:r>
        <w:t>Log capture enabled for audit trail</w:t>
      </w:r>
    </w:p>
    <w:p>
      <w:pPr>
        <w:pStyle w:val="Heading1"/>
      </w:pPr>
      <w:r>
        <w:t>2. Twin-Sample Regression Setup</w:t>
      </w:r>
    </w:p>
    <w:p>
      <w:r>
        <w:t>This script covers regression testing across two application versions: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Build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Current</w:t>
            </w:r>
          </w:p>
        </w:tc>
        <w:tc>
          <w:tcPr>
            <w:tcW w:type="dxa" w:w="2880"/>
          </w:tcPr>
          <w:p>
            <w:r>
              <w:t>v1.2.4</w:t>
            </w:r>
          </w:p>
        </w:tc>
        <w:tc>
          <w:tcPr>
            <w:tcW w:type="dxa" w:w="2880"/>
          </w:tcPr>
          <w:p>
            <w:r>
              <w:t>Baseline</w:t>
            </w:r>
          </w:p>
        </w:tc>
      </w:tr>
      <w:tr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>
              <w:t>v1.3.0-RC1</w:t>
            </w:r>
          </w:p>
        </w:tc>
        <w:tc>
          <w:tcPr>
            <w:tcW w:type="dxa" w:w="2880"/>
          </w:tcPr>
          <w:p>
            <w:r>
              <w:t>Changes: UI refresh, coverage compute optimization</w:t>
            </w:r>
          </w:p>
        </w:tc>
      </w:tr>
    </w:tbl>
    <w:p>
      <w:pPr>
        <w:pStyle w:val="Heading1"/>
      </w:pPr>
      <w:r>
        <w:t>3. Test Cases (Sample)</w:t>
      </w:r>
    </w:p>
    <w:p>
      <w:r>
        <w:t>Execute the following test cases in sequence:</w:t>
      </w:r>
    </w:p>
    <w:p>
      <w:pPr>
        <w:pStyle w:val="ListNumber"/>
      </w:pPr>
      <w:r>
        <w:rPr>
          <w:b/>
        </w:rPr>
        <w:t>TC-001: Applicant login</w:t>
      </w:r>
      <w:r>
        <w:t xml:space="preserve"> — Expected: Verify credentials accepted</w:t>
      </w:r>
    </w:p>
    <w:p>
      <w:pPr>
        <w:pStyle w:val="ListNumber"/>
      </w:pPr>
      <w:r>
        <w:rPr>
          <w:b/>
        </w:rPr>
        <w:t>TC-002: Create new application</w:t>
      </w:r>
      <w:r>
        <w:t xml:space="preserve"> — Expected: Form loads with all fields</w:t>
      </w:r>
    </w:p>
    <w:p>
      <w:pPr>
        <w:pStyle w:val="ListNumber"/>
      </w:pPr>
      <w:r>
        <w:rPr>
          <w:b/>
        </w:rPr>
        <w:t>TC-003: Upload artefacts</w:t>
      </w:r>
      <w:r>
        <w:t xml:space="preserve"> — Expected: Files accepted, scanning initiated</w:t>
      </w:r>
    </w:p>
    <w:p>
      <w:pPr>
        <w:pStyle w:val="ListNumber"/>
      </w:pPr>
      <w:r>
        <w:rPr>
          <w:b/>
        </w:rPr>
        <w:t>TC-004: Run coverage matrix</w:t>
      </w:r>
      <w:r>
        <w:t xml:space="preserve"> — Expected: Computation completes in &lt;10 sec</w:t>
      </w:r>
    </w:p>
    <w:p>
      <w:pPr>
        <w:pStyle w:val="ListNumber"/>
      </w:pPr>
      <w:r>
        <w:rPr>
          <w:b/>
        </w:rPr>
        <w:t>TC-005: Review readiness gate</w:t>
      </w:r>
      <w:r>
        <w:t xml:space="preserve"> — Expected: All 6 conditions assessed</w:t>
      </w:r>
    </w:p>
    <w:p>
      <w:pPr>
        <w:pStyle w:val="ListNumber"/>
      </w:pPr>
      <w:r>
        <w:rPr>
          <w:b/>
        </w:rPr>
        <w:t>TC-006: Submit application</w:t>
      </w:r>
      <w:r>
        <w:t xml:space="preserve"> — Expected: Confirmation issued, case ID generated</w:t>
      </w:r>
    </w:p>
    <w:p>
      <w:pPr>
        <w:pStyle w:val="Heading1"/>
      </w:pPr>
      <w:r>
        <w:t>4. Controls</w:t>
      </w:r>
    </w:p>
    <w:p>
      <w:r>
        <w:t>Record the following controls during execution:</w:t>
      </w:r>
    </w:p>
    <w:p>
      <w:pPr>
        <w:pStyle w:val="ListBullet"/>
      </w:pPr>
      <w:r>
        <w:t>Start time of test session</w:t>
      </w:r>
    </w:p>
    <w:p>
      <w:pPr>
        <w:pStyle w:val="ListBullet"/>
      </w:pPr>
      <w:r>
        <w:t>Number of test cases executed</w:t>
      </w:r>
    </w:p>
    <w:p>
      <w:pPr>
        <w:pStyle w:val="ListBullet"/>
      </w:pPr>
      <w:r>
        <w:t>Number of failures, blocks, skips</w:t>
      </w:r>
    </w:p>
    <w:p>
      <w:pPr>
        <w:pStyle w:val="ListBullet"/>
      </w:pPr>
      <w:r>
        <w:t>Critical issues discovered</w:t>
      </w:r>
    </w:p>
    <w:p>
      <w:pPr>
        <w:pStyle w:val="ListBullet"/>
      </w:pPr>
      <w:r>
        <w:t>Regression indicators (regression % vs baseline)</w:t>
      </w:r>
    </w:p>
    <w:p>
      <w:pPr>
        <w:pStyle w:val="Heading1"/>
      </w:pPr>
      <w:r>
        <w:t>5. Sign-Off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Lead:</w:t>
            </w:r>
          </w:p>
        </w:tc>
        <w:tc>
          <w:tcPr>
            <w:tcW w:type="dxa" w:w="4320"/>
          </w:tcPr>
          <w:p>
            <w:r>
              <w:t>_____________________</w:t>
            </w:r>
          </w:p>
        </w:tc>
      </w:tr>
      <w:tr>
        <w:tc>
          <w:tcPr>
            <w:tcW w:type="dxa" w:w="4320"/>
          </w:tcPr>
          <w:p>
            <w:r>
              <w:t>Date:</w:t>
            </w:r>
          </w:p>
        </w:tc>
        <w:tc>
          <w:tcPr>
            <w:tcW w:type="dxa" w:w="4320"/>
          </w:tcPr>
          <w:p>
            <w:r>
              <w:t>_____________________</w:t>
            </w:r>
          </w:p>
        </w:tc>
      </w:tr>
      <w:tr>
        <w:tc>
          <w:tcPr>
            <w:tcW w:type="dxa" w:w="4320"/>
          </w:tcPr>
          <w:p>
            <w:r>
              <w:t>Approval:</w:t>
            </w:r>
          </w:p>
        </w:tc>
        <w:tc>
          <w:tcPr>
            <w:tcW w:type="dxa" w:w="4320"/>
          </w:tcPr>
          <w:p>
            <w:r>
              <w:t>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