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D9488"/>
          <w:spacing w:val="30"/>
          <w:sz w:val="18"/>
          <w:szCs w:val="18"/>
        </w:rPr>
        <w:t xml:space="preserve">UNCLASSIFIED  |  RESEARCH EXERCISE  |  APRIL 2026</w:t>
      </w:r>
    </w:p>
    <w:p>
      <w:pPr>
        <w:spacing w:after="80"/>
      </w:pPr>
      <w:r>
        <w:rPr>
          <w:b/>
          <w:bCs/>
          <w:color w:val="0B1F3A"/>
          <w:sz w:val="44"/>
          <w:szCs w:val="44"/>
        </w:rPr>
        <w:t xml:space="preserve">User Story: AI-augmented T&amp;E of a Naval USV Perception Stack</w:t>
      </w:r>
    </w:p>
    <w:p>
      <w:pPr>
        <w:spacing w:after="240"/>
      </w:pPr>
      <w:r>
        <w:rPr>
          <w:i/>
          <w:iCs/>
          <w:color w:val="475569"/>
          <w:sz w:val="24"/>
          <w:szCs w:val="24"/>
        </w:rPr>
        <w:t xml:space="preserve">Use case area: Naval drones (Uncrewed Surface Vessels) — perception, classification and collision avoidance</w:t>
      </w:r>
    </w:p>
    <w:p>
      <w:pPr>
        <w:pBdr>
          <w:bottom w:val="single" w:color="0D9488" w:sz="8" w:space="6"/>
        </w:pBdr>
        <w:spacing w:after="160"/>
      </w:pPr>
      <w:r>
        <w:t xml:space="preserve"/>
      </w:r>
    </w:p>
    <w:p>
      <w:pPr>
        <w:pStyle w:val="Heading1"/>
        <w:spacing w:after="180" w:before="360"/>
      </w:pPr>
      <w:r>
        <w:rPr>
          <w:b/>
          <w:bCs/>
          <w:color w:val="0B1F3A"/>
          <w:sz w:val="36"/>
          <w:szCs w:val="36"/>
        </w:rPr>
        <w:t xml:space="preserve">1. Executive summary</w:t>
      </w:r>
    </w:p>
    <w:p>
      <w:pPr>
        <w:spacing w:after="140" w:line="300"/>
      </w:pPr>
      <w:r>
        <w:rPr>
          <w:color w:val="1E293B"/>
          <w:sz w:val="22"/>
          <w:szCs w:val="22"/>
        </w:rPr>
        <w:t xml:space="preserve">This exercise selects the Naval Drones use case and develops a user story around the Test &amp; Evaluation (T&amp;E) of the perception stack on a Royal Navy Uncrewed Surface Vessel (USV). The perception stack — radar, visual, infrared and LiDAR sensors feeding object-detection, classification and collision-avoidance models — is the single most T&amp;E-intensive subsystem on an autonomous platform. It is also the subsystem where AI can make the largest difference to the defensibility, speed and cost of the evidence that AMLAS, SACE and Article 36 reviews demand.</w:t>
      </w:r>
    </w:p>
    <w:p>
      <w:pPr>
        <w:spacing w:after="140" w:line="300"/>
      </w:pPr>
      <w:r>
        <w:rPr>
          <w:color w:val="1E293B"/>
          <w:sz w:val="22"/>
          <w:szCs w:val="22"/>
        </w:rPr>
        <w:t xml:space="preserve">The user story below frames the T&amp;E engineer's need, identifies an end-to-end T&amp;E activity (pre-deployment robustness qualification of the perception stack against the declared Operational Design Domain), and sets out where AI can deliver measurable benefits — including what AI tools are required and what non-AI enablers (infrastructure, data, people, governance and partnerships) must be in place for the benefits to land safely inside a UK MOD release gate.</w:t>
      </w:r>
    </w:p>
    <w:p>
      <w:pPr>
        <w:pStyle w:val="Heading1"/>
        <w:spacing w:after="180" w:before="360"/>
      </w:pPr>
      <w:r>
        <w:rPr>
          <w:b/>
          <w:bCs/>
          <w:color w:val="0B1F3A"/>
          <w:sz w:val="36"/>
          <w:szCs w:val="36"/>
        </w:rPr>
        <w:t xml:space="preserve">2. Why this use case</w:t>
      </w:r>
    </w:p>
    <w:p>
      <w:pPr>
        <w:spacing w:after="140" w:line="300"/>
      </w:pPr>
      <w:r>
        <w:rPr>
          <w:color w:val="1E293B"/>
          <w:sz w:val="22"/>
          <w:szCs w:val="22"/>
        </w:rPr>
        <w:t xml:space="preserve">Three factors make naval USV perception the right use case to anchor a defence AI-in-T&amp;E exercise:</w:t>
      </w:r>
    </w:p>
    <w:p>
      <w:pPr>
        <w:pStyle w:val="ListParagraph"/>
        <w:numPr>
          <w:ilvl w:val="0"/>
          <w:numId w:val="2"/>
        </w:numPr>
        <w:spacing w:after="80" w:line="280"/>
      </w:pPr>
      <w:r>
        <w:rPr>
          <w:b/>
          <w:bCs/>
          <w:color w:val="0B1F3A"/>
          <w:sz w:val="22"/>
          <w:szCs w:val="22"/>
        </w:rPr>
        <w:t xml:space="preserve">Evidence intensity. </w:t>
      </w:r>
      <w:r>
        <w:rPr>
          <w:color w:val="1E293B"/>
          <w:sz w:val="22"/>
          <w:szCs w:val="22"/>
        </w:rPr>
        <w:t xml:space="preserve">Perception models are probabilistic; AMLAS and SACE require lifecycle evidence across data, model, system and assurance layers, not a single acceptance test.</w:t>
      </w:r>
    </w:p>
    <w:p>
      <w:pPr>
        <w:pStyle w:val="ListParagraph"/>
        <w:numPr>
          <w:ilvl w:val="0"/>
          <w:numId w:val="2"/>
        </w:numPr>
        <w:spacing w:after="80" w:line="280"/>
      </w:pPr>
      <w:r>
        <w:rPr>
          <w:b/>
          <w:bCs/>
          <w:color w:val="0B1F3A"/>
          <w:sz w:val="22"/>
          <w:szCs w:val="22"/>
        </w:rPr>
        <w:t xml:space="preserve">Open data available. </w:t>
      </w:r>
      <w:r>
        <w:rPr>
          <w:color w:val="1E293B"/>
          <w:sz w:val="22"/>
          <w:szCs w:val="22"/>
        </w:rPr>
        <w:t xml:space="preserve">The MIT AUVLAB marine-perception set gives a rich, open multi-modal (radar, visual, IR, LiDAR) baseline. Complementary datasets (NVIDIA Alpamayo ground-vehicle sensors, Met Office climate archives, data.gov RF recordings) plug directly into the same pipeline.</w:t>
      </w:r>
    </w:p>
    <w:p>
      <w:pPr>
        <w:pStyle w:val="ListParagraph"/>
        <w:numPr>
          <w:ilvl w:val="0"/>
          <w:numId w:val="2"/>
        </w:numPr>
        <w:spacing w:after="80" w:line="280"/>
      </w:pPr>
      <w:r>
        <w:rPr>
          <w:b/>
          <w:bCs/>
          <w:color w:val="0B1F3A"/>
          <w:sz w:val="22"/>
          <w:szCs w:val="22"/>
        </w:rPr>
        <w:t xml:space="preserve">Strategic priority. </w:t>
      </w:r>
      <w:r>
        <w:rPr>
          <w:color w:val="1E293B"/>
          <w:sz w:val="22"/>
          <w:szCs w:val="22"/>
        </w:rPr>
        <w:t xml:space="preserve">The UK Defence Command Paper, the RN's Project Cabot and the Maritime Capability Strategy all position crewed-uncrewed teaming and USV pathfinders as a near-term commitment. T&amp;E capacity is explicitly named as a bottleneck.</w:t>
      </w:r>
    </w:p>
    <w:p>
      <w:pPr>
        <w:pStyle w:val="Heading1"/>
        <w:spacing w:after="180" w:before="360"/>
      </w:pPr>
      <w:r>
        <w:rPr>
          <w:b/>
          <w:bCs/>
          <w:color w:val="0B1F3A"/>
          <w:sz w:val="36"/>
          <w:szCs w:val="36"/>
        </w:rPr>
        <w:t xml:space="preserve">3. User 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4"/>
              <w:left w:val="single" w:color="CCCCCC" w:sz="4"/>
              <w:bottom w:val="single" w:color="CCCCCC" w:sz="4"/>
              <w:right w:val="single" w:color="CCCCCC" w:sz="4"/>
            </w:tcBorders>
            <w:shd w:fill="0B1F3A" w:color="auto" w:val="clear"/>
            <w:tcMar>
              <w:top w:type="dxa" w:w="100"/>
              <w:left w:type="dxa" w:w="140"/>
              <w:bottom w:type="dxa" w:w="100"/>
              <w:right w:type="dxa" w:w="140"/>
            </w:tcMar>
          </w:tcPr>
          <w:p>
            <w:pPr>
              <w:jc w:val="left"/>
            </w:pPr>
            <w:r>
              <w:rPr>
                <w:b/>
                <w:bCs/>
                <w:color w:val="FFFFFF"/>
                <w:sz w:val="20"/>
                <w:szCs w:val="20"/>
              </w:rPr>
              <w:t xml:space="preserve">Epic</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val="false"/>
                <w:bCs w:val="false"/>
                <w:color w:val="1E293B"/>
                <w:sz w:val="20"/>
                <w:szCs w:val="20"/>
              </w:rPr>
              <w:t xml:space="preserve">AI-assisted Test &amp; Evaluation of autonomous maritime perception for Royal Navy USV programmes</w:t>
            </w:r>
          </w:p>
        </w:tc>
      </w:tr>
      <w:tr>
        <w:tc>
          <w:tcPr>
            <w:tcW w:type="dxa" w:w="2340"/>
            <w:tcBorders>
              <w:top w:val="single" w:color="CCCCCC" w:sz="4"/>
              <w:left w:val="single" w:color="CCCCCC" w:sz="4"/>
              <w:bottom w:val="single" w:color="CCCCCC" w:sz="4"/>
              <w:right w:val="single" w:color="CCCCCC" w:sz="4"/>
            </w:tcBorders>
            <w:shd w:fill="0B1F3A" w:color="auto" w:val="clear"/>
            <w:tcMar>
              <w:top w:type="dxa" w:w="100"/>
              <w:left w:type="dxa" w:w="140"/>
              <w:bottom w:type="dxa" w:w="100"/>
              <w:right w:type="dxa" w:w="140"/>
            </w:tcMar>
          </w:tcPr>
          <w:p>
            <w:pPr>
              <w:jc w:val="left"/>
            </w:pPr>
            <w:r>
              <w:rPr>
                <w:b/>
                <w:bCs/>
                <w:color w:val="FFFFFF"/>
                <w:sz w:val="20"/>
                <w:szCs w:val="20"/>
              </w:rPr>
              <w:t xml:space="preserve">User role</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val="false"/>
                <w:bCs w:val="false"/>
                <w:color w:val="1E293B"/>
                <w:sz w:val="20"/>
                <w:szCs w:val="20"/>
              </w:rPr>
              <w:t xml:space="preserve">Principal T&amp;E Engineer, Navy Command (working with Dstl's Autonomy Lab, NavyX and DAIC)</w:t>
            </w:r>
          </w:p>
        </w:tc>
      </w:tr>
      <w:tr>
        <w:tc>
          <w:tcPr>
            <w:tcW w:type="dxa" w:w="2340"/>
            <w:tcBorders>
              <w:top w:val="single" w:color="CCCCCC" w:sz="4"/>
              <w:left w:val="single" w:color="CCCCCC" w:sz="4"/>
              <w:bottom w:val="single" w:color="CCCCCC" w:sz="4"/>
              <w:right w:val="single" w:color="CCCCCC" w:sz="4"/>
            </w:tcBorders>
            <w:shd w:fill="0B1F3A" w:color="auto" w:val="clear"/>
            <w:tcMar>
              <w:top w:type="dxa" w:w="100"/>
              <w:left w:type="dxa" w:w="140"/>
              <w:bottom w:type="dxa" w:w="100"/>
              <w:right w:type="dxa" w:w="140"/>
            </w:tcMar>
          </w:tcPr>
          <w:p>
            <w:pPr>
              <w:jc w:val="left"/>
            </w:pPr>
            <w:r>
              <w:rPr>
                <w:b/>
                <w:bCs/>
                <w:color w:val="FFFFFF"/>
                <w:sz w:val="20"/>
                <w:szCs w:val="20"/>
              </w:rPr>
              <w:t xml:space="preserve">Problem</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val="false"/>
                <w:bCs w:val="false"/>
                <w:color w:val="1E293B"/>
                <w:sz w:val="20"/>
                <w:szCs w:val="20"/>
              </w:rPr>
              <w:t xml:space="preserve">Perception stacks on USVs face near-infinite sensor-environment combinations. Manual test campaigns cannot cover enough of this space to generate the evidence AMLAS and SACE demand for safe certification.</w:t>
            </w:r>
          </w:p>
        </w:tc>
      </w:tr>
      <w:tr>
        <w:tc>
          <w:tcPr>
            <w:tcW w:type="dxa" w:w="2340"/>
            <w:tcBorders>
              <w:top w:val="single" w:color="CCCCCC" w:sz="4"/>
              <w:left w:val="single" w:color="CCCCCC" w:sz="4"/>
              <w:bottom w:val="single" w:color="CCCCCC" w:sz="4"/>
              <w:right w:val="single" w:color="CCCCCC" w:sz="4"/>
            </w:tcBorders>
            <w:shd w:fill="0B1F3A" w:color="auto" w:val="clear"/>
            <w:tcMar>
              <w:top w:type="dxa" w:w="100"/>
              <w:left w:type="dxa" w:w="140"/>
              <w:bottom w:type="dxa" w:w="100"/>
              <w:right w:type="dxa" w:w="140"/>
            </w:tcMar>
          </w:tcPr>
          <w:p>
            <w:pPr>
              <w:jc w:val="left"/>
            </w:pPr>
            <w:r>
              <w:rPr>
                <w:b/>
                <w:bCs/>
                <w:color w:val="FFFFFF"/>
                <w:sz w:val="20"/>
                <w:szCs w:val="20"/>
              </w:rPr>
              <w:t xml:space="preserve">User story</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val="false"/>
                <w:bCs w:val="false"/>
                <w:color w:val="1E293B"/>
                <w:sz w:val="20"/>
                <w:szCs w:val="20"/>
              </w:rPr>
              <w:t xml:space="preserve">As a T&amp;E Engineer, I need an AI-augmented perception-testing pipeline so that I can demonstrate — with traceable, reproducible evidence — that an USV's object-detection and collision-avoidance stack meets safety and mission requirements across the full envelope of sensor conditions, weather states and adversarial behaviours the platform will encounter.</w:t>
            </w:r>
          </w:p>
        </w:tc>
      </w:tr>
      <w:tr>
        <w:tc>
          <w:tcPr>
            <w:tcW w:type="dxa" w:w="2340"/>
            <w:tcBorders>
              <w:top w:val="single" w:color="CCCCCC" w:sz="4"/>
              <w:left w:val="single" w:color="CCCCCC" w:sz="4"/>
              <w:bottom w:val="single" w:color="CCCCCC" w:sz="4"/>
              <w:right w:val="single" w:color="CCCCCC" w:sz="4"/>
            </w:tcBorders>
            <w:shd w:fill="0B1F3A" w:color="auto" w:val="clear"/>
            <w:tcMar>
              <w:top w:type="dxa" w:w="100"/>
              <w:left w:type="dxa" w:w="140"/>
              <w:bottom w:type="dxa" w:w="100"/>
              <w:right w:type="dxa" w:w="140"/>
            </w:tcMar>
          </w:tcPr>
          <w:p>
            <w:pPr>
              <w:jc w:val="left"/>
            </w:pPr>
            <w:r>
              <w:rPr>
                <w:b/>
                <w:bCs/>
                <w:color w:val="FFFFFF"/>
                <w:sz w:val="20"/>
                <w:szCs w:val="20"/>
              </w:rPr>
              <w:t xml:space="preserve">Outcome</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val="false"/>
                <w:bCs w:val="false"/>
                <w:color w:val="1E293B"/>
                <w:sz w:val="20"/>
                <w:szCs w:val="20"/>
              </w:rPr>
              <w:t xml:space="preserve">A defensible AMLAS-compliant safety case for the USV perception stack, produced in a fraction of the manual effort, with live drift alarms after deployment and Article 36 legal review evidence for the collision-avoidance decision layer.</w:t>
            </w:r>
          </w:p>
        </w:tc>
      </w:tr>
      <w:tr>
        <w:tc>
          <w:tcPr>
            <w:tcW w:type="dxa" w:w="2340"/>
            <w:tcBorders>
              <w:top w:val="single" w:color="CCCCCC" w:sz="4"/>
              <w:left w:val="single" w:color="CCCCCC" w:sz="4"/>
              <w:bottom w:val="single" w:color="CCCCCC" w:sz="4"/>
              <w:right w:val="single" w:color="CCCCCC" w:sz="4"/>
            </w:tcBorders>
            <w:shd w:fill="0B1F3A" w:color="auto" w:val="clear"/>
            <w:tcMar>
              <w:top w:type="dxa" w:w="100"/>
              <w:left w:type="dxa" w:w="140"/>
              <w:bottom w:type="dxa" w:w="100"/>
              <w:right w:type="dxa" w:w="140"/>
            </w:tcMar>
          </w:tcPr>
          <w:p>
            <w:pPr>
              <w:jc w:val="left"/>
            </w:pPr>
            <w:r>
              <w:rPr>
                <w:b/>
                <w:bCs/>
                <w:color w:val="FFFFFF"/>
                <w:sz w:val="20"/>
                <w:szCs w:val="20"/>
              </w:rPr>
              <w:t xml:space="preserve">Acceptance criteria</w:t>
            </w:r>
          </w:p>
        </w:tc>
        <w:tc>
          <w:tcPr>
            <w:tcW w:type="dxa" w:w="70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val="false"/>
                <w:bCs w:val="false"/>
                <w:color w:val="1E293B"/>
                <w:sz w:val="20"/>
                <w:szCs w:val="20"/>
              </w:rPr>
              <w:t xml:space="preserve">• Coverage of declared ODD states ≥ 95 % (physics-accurate sim + synthetic data)
• Adversarial robustness bounds filed for every class
• Drift monitors live on ≥ 3 environment variables post-deployment
• GSN safety case draft auto-generated and human-approved
• All AI-generated tests traceable to a named requirement</w:t>
            </w:r>
          </w:p>
        </w:tc>
      </w:tr>
    </w:tbl>
    <w:p>
      <w:pPr>
        <w:spacing w:after="60"/>
      </w:pPr>
      <w:r>
        <w:t xml:space="preserve"/>
      </w:r>
    </w:p>
    <w:p>
      <w:pPr>
        <w:pBdr>
          <w:left w:val="single" w:color="0D9488" w:sz="18" w:space="12"/>
        </w:pBdr>
        <w:spacing w:after="200" w:before="200" w:line="320"/>
        <w:ind w:left="360" w:right="360"/>
      </w:pPr>
      <w:r>
        <w:rPr>
          <w:i/>
          <w:iCs/>
          <w:color w:val="0B1F3A"/>
          <w:sz w:val="24"/>
          <w:szCs w:val="24"/>
        </w:rPr>
        <w:t xml:space="preserve">As a T&amp;E Engineer in Navy Command, I need an AI-augmented perception-testing pipeline so that I can demonstrate — with traceable, reproducible evidence — that my USV's object-detection and collision-avoidance stack meets safety and mission requirements across the full envelope of sensor conditions, weather states and adversarial behaviours the platform will encounter.</w:t>
      </w:r>
    </w:p>
    <w:p>
      <w:pPr>
        <w:pStyle w:val="Heading1"/>
        <w:spacing w:after="180" w:before="360"/>
      </w:pPr>
      <w:r>
        <w:rPr>
          <w:b/>
          <w:bCs/>
          <w:color w:val="0B1F3A"/>
          <w:sz w:val="36"/>
          <w:szCs w:val="36"/>
        </w:rPr>
        <w:t xml:space="preserve">4. Associated T&amp;E activity</w:t>
      </w:r>
    </w:p>
    <w:p>
      <w:pPr>
        <w:spacing w:after="140" w:line="300"/>
      </w:pPr>
      <w:r>
        <w:rPr>
          <w:color w:val="1E293B"/>
          <w:sz w:val="22"/>
          <w:szCs w:val="22"/>
        </w:rPr>
        <w:t xml:space="preserve">The headline T&amp;E activity is the Perception Stack Robustness Qualification (PSRQ): the formal evaluation campaign a USV must pass before its perception stack is cleared for sea trials, and later for operational release. Under current practice, PSRQ is a hybrid of sea trials, hardware-in-the-loop (HIL) runs and manually authored scenario tests. Scope is typically limited by the cost of ship time and the number of qualified operators, meaning much of the Operational Design Domain is sampled rather than covered.</w:t>
      </w:r>
    </w:p>
    <w:p>
      <w:pPr>
        <w:pStyle w:val="Heading3"/>
        <w:spacing w:after="80" w:before="200"/>
      </w:pPr>
      <w:r>
        <w:rPr>
          <w:b/>
          <w:bCs/>
          <w:color w:val="0B1F3A"/>
          <w:sz w:val="24"/>
          <w:szCs w:val="24"/>
        </w:rPr>
        <w:t xml:space="preserve">PSRQ activity phases</w:t>
      </w:r>
    </w:p>
    <w:p>
      <w:pPr>
        <w:pStyle w:val="ListParagraph"/>
        <w:numPr>
          <w:ilvl w:val="0"/>
          <w:numId w:val="2"/>
        </w:numPr>
        <w:spacing w:after="80" w:line="280"/>
      </w:pPr>
      <w:r>
        <w:rPr>
          <w:b/>
          <w:bCs/>
          <w:color w:val="0B1F3A"/>
          <w:sz w:val="22"/>
          <w:szCs w:val="22"/>
        </w:rPr>
        <w:t xml:space="preserve">Phase 1 — Requirements decomposition. </w:t>
      </w:r>
      <w:r>
        <w:rPr>
          <w:color w:val="1E293B"/>
          <w:sz w:val="22"/>
          <w:szCs w:val="22"/>
        </w:rPr>
        <w:t xml:space="preserve">ODD, safety and mission requirements decomposed into testable conditions; traceability matrix opened.</w:t>
      </w:r>
    </w:p>
    <w:p>
      <w:pPr>
        <w:pStyle w:val="ListParagraph"/>
        <w:numPr>
          <w:ilvl w:val="0"/>
          <w:numId w:val="2"/>
        </w:numPr>
        <w:spacing w:after="80" w:line="280"/>
      </w:pPr>
      <w:r>
        <w:rPr>
          <w:b/>
          <w:bCs/>
          <w:color w:val="0B1F3A"/>
          <w:sz w:val="22"/>
          <w:szCs w:val="22"/>
        </w:rPr>
        <w:t xml:space="preserve">Phase 2 — Data curation. </w:t>
      </w:r>
      <w:r>
        <w:rPr>
          <w:color w:val="1E293B"/>
          <w:sz w:val="22"/>
          <w:szCs w:val="22"/>
        </w:rPr>
        <w:t xml:space="preserve">Real sensor logs (AUVLAB + MOD sea-trial tapes) plus synthetic augmentation for rare events.</w:t>
      </w:r>
    </w:p>
    <w:p>
      <w:pPr>
        <w:pStyle w:val="ListParagraph"/>
        <w:numPr>
          <w:ilvl w:val="0"/>
          <w:numId w:val="2"/>
        </w:numPr>
        <w:spacing w:after="80" w:line="280"/>
      </w:pPr>
      <w:r>
        <w:rPr>
          <w:b/>
          <w:bCs/>
          <w:color w:val="0B1F3A"/>
          <w:sz w:val="22"/>
          <w:szCs w:val="22"/>
        </w:rPr>
        <w:t xml:space="preserve">Phase 3 — Model-layer evaluation. </w:t>
      </w:r>
      <w:r>
        <w:rPr>
          <w:color w:val="1E293B"/>
          <w:sz w:val="22"/>
          <w:szCs w:val="22"/>
        </w:rPr>
        <w:t xml:space="preserve">Accuracy, calibration, adversarial robustness, explainability on held-out and synthetic test sets.</w:t>
      </w:r>
    </w:p>
    <w:p>
      <w:pPr>
        <w:pStyle w:val="ListParagraph"/>
        <w:numPr>
          <w:ilvl w:val="0"/>
          <w:numId w:val="2"/>
        </w:numPr>
        <w:spacing w:after="80" w:line="280"/>
      </w:pPr>
      <w:r>
        <w:rPr>
          <w:b/>
          <w:bCs/>
          <w:color w:val="0B1F3A"/>
          <w:sz w:val="22"/>
          <w:szCs w:val="22"/>
        </w:rPr>
        <w:t xml:space="preserve">Phase 4 — System-layer evaluation. </w:t>
      </w:r>
      <w:r>
        <w:rPr>
          <w:color w:val="1E293B"/>
          <w:sz w:val="22"/>
          <w:szCs w:val="22"/>
        </w:rPr>
        <w:t xml:space="preserve">HIL and digital-twin scenarios — closed-loop collision-avoidance, human-on-the-loop handovers, degraded-sensor modes.</w:t>
      </w:r>
    </w:p>
    <w:p>
      <w:pPr>
        <w:pStyle w:val="ListParagraph"/>
        <w:numPr>
          <w:ilvl w:val="0"/>
          <w:numId w:val="2"/>
        </w:numPr>
        <w:spacing w:after="80" w:line="280"/>
      </w:pPr>
      <w:r>
        <w:rPr>
          <w:b/>
          <w:bCs/>
          <w:color w:val="0B1F3A"/>
          <w:sz w:val="22"/>
          <w:szCs w:val="22"/>
        </w:rPr>
        <w:t xml:space="preserve">Phase 5 — Real-world validation. </w:t>
      </w:r>
      <w:r>
        <w:rPr>
          <w:color w:val="1E293B"/>
          <w:sz w:val="22"/>
          <w:szCs w:val="22"/>
        </w:rPr>
        <w:t xml:space="preserve">Targeted physical trials to anchor the synthetic evidence — weather, comms and UK-specific littoral traffic.</w:t>
      </w:r>
    </w:p>
    <w:p>
      <w:pPr>
        <w:pStyle w:val="ListParagraph"/>
        <w:numPr>
          <w:ilvl w:val="0"/>
          <w:numId w:val="2"/>
        </w:numPr>
        <w:spacing w:after="80" w:line="280"/>
      </w:pPr>
      <w:r>
        <w:rPr>
          <w:b/>
          <w:bCs/>
          <w:color w:val="0B1F3A"/>
          <w:sz w:val="22"/>
          <w:szCs w:val="22"/>
        </w:rPr>
        <w:t xml:space="preserve">Phase 6 — Safety case &amp; Article 36. </w:t>
      </w:r>
      <w:r>
        <w:rPr>
          <w:color w:val="1E293B"/>
          <w:sz w:val="22"/>
          <w:szCs w:val="22"/>
        </w:rPr>
        <w:t xml:space="preserve">AMLAS-structured evidence bundle, GSN safety case, Article 36 legal review for collision-avoidance behaviour.</w:t>
      </w:r>
    </w:p>
    <w:p>
      <w:pPr>
        <w:pStyle w:val="ListParagraph"/>
        <w:numPr>
          <w:ilvl w:val="0"/>
          <w:numId w:val="2"/>
        </w:numPr>
        <w:spacing w:after="80" w:line="280"/>
      </w:pPr>
      <w:r>
        <w:rPr>
          <w:b/>
          <w:bCs/>
          <w:color w:val="0B1F3A"/>
          <w:sz w:val="22"/>
          <w:szCs w:val="22"/>
        </w:rPr>
        <w:t xml:space="preserve">Phase 7 — In-service monitoring. </w:t>
      </w:r>
      <w:r>
        <w:rPr>
          <w:color w:val="1E293B"/>
          <w:sz w:val="22"/>
          <w:szCs w:val="22"/>
        </w:rPr>
        <w:t xml:space="preserve">Drift detection, continuous re-qualification, automatic update of the evidence store on model change.</w:t>
      </w:r>
    </w:p>
    <w:p>
      <w:pPr>
        <w:pStyle w:val="Heading1"/>
        <w:spacing w:after="180" w:before="360"/>
      </w:pPr>
      <w:r>
        <w:rPr>
          <w:b/>
          <w:bCs/>
          <w:color w:val="0B1F3A"/>
          <w:sz w:val="36"/>
          <w:szCs w:val="36"/>
        </w:rPr>
        <w:t xml:space="preserve">5. Where AI delivers benefits in this T&amp;E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0"/>
        <w:gridCol w:w="2640"/>
        <w:gridCol w:w="3000"/>
        <w:gridCol w:w="1800"/>
      </w:tblGrid>
      <w:tr>
        <w:tc>
          <w:tcPr>
            <w:tcW w:type="dxa" w:w="1920"/>
            <w:tcBorders>
              <w:top w:val="single" w:color="CCCCCC" w:sz="4"/>
              <w:left w:val="single" w:color="CCCCCC" w:sz="4"/>
              <w:bottom w:val="single" w:color="CCCCCC" w:sz="4"/>
              <w:right w:val="single" w:color="CCCCCC" w:sz="4"/>
            </w:tcBorders>
            <w:shd w:fill="0B1F3A" w:color="auto" w:val="clear"/>
            <w:tcMar>
              <w:top w:type="dxa" w:w="100"/>
              <w:left w:type="dxa" w:w="140"/>
              <w:bottom w:type="dxa" w:w="100"/>
              <w:right w:type="dxa" w:w="140"/>
            </w:tcMar>
          </w:tcPr>
          <w:p>
            <w:pPr>
              <w:jc w:val="left"/>
            </w:pPr>
            <w:r>
              <w:rPr>
                <w:b/>
                <w:bCs/>
                <w:color w:val="FFFFFF"/>
                <w:sz w:val="20"/>
                <w:szCs w:val="20"/>
              </w:rPr>
              <w:t xml:space="preserve">T&amp;E activity step</w:t>
            </w:r>
          </w:p>
        </w:tc>
        <w:tc>
          <w:tcPr>
            <w:tcW w:type="dxa" w:w="2640"/>
            <w:tcBorders>
              <w:top w:val="single" w:color="CCCCCC" w:sz="4"/>
              <w:left w:val="single" w:color="CCCCCC" w:sz="4"/>
              <w:bottom w:val="single" w:color="CCCCCC" w:sz="4"/>
              <w:right w:val="single" w:color="CCCCCC" w:sz="4"/>
            </w:tcBorders>
            <w:shd w:fill="0B1F3A" w:color="auto" w:val="clear"/>
            <w:tcMar>
              <w:top w:type="dxa" w:w="100"/>
              <w:left w:type="dxa" w:w="140"/>
              <w:bottom w:type="dxa" w:w="100"/>
              <w:right w:type="dxa" w:w="140"/>
            </w:tcMar>
          </w:tcPr>
          <w:p>
            <w:pPr>
              <w:jc w:val="left"/>
            </w:pPr>
            <w:r>
              <w:rPr>
                <w:b/>
                <w:bCs/>
                <w:color w:val="FFFFFF"/>
                <w:sz w:val="20"/>
                <w:szCs w:val="20"/>
              </w:rPr>
              <w:t xml:space="preserve">Manual / traditional baseline</w:t>
            </w:r>
          </w:p>
        </w:tc>
        <w:tc>
          <w:tcPr>
            <w:tcW w:type="dxa" w:w="3000"/>
            <w:tcBorders>
              <w:top w:val="single" w:color="CCCCCC" w:sz="4"/>
              <w:left w:val="single" w:color="CCCCCC" w:sz="4"/>
              <w:bottom w:val="single" w:color="CCCCCC" w:sz="4"/>
              <w:right w:val="single" w:color="CCCCCC" w:sz="4"/>
            </w:tcBorders>
            <w:shd w:fill="0B1F3A" w:color="auto" w:val="clear"/>
            <w:tcMar>
              <w:top w:type="dxa" w:w="100"/>
              <w:left w:type="dxa" w:w="140"/>
              <w:bottom w:type="dxa" w:w="100"/>
              <w:right w:type="dxa" w:w="140"/>
            </w:tcMar>
          </w:tcPr>
          <w:p>
            <w:pPr>
              <w:jc w:val="left"/>
            </w:pPr>
            <w:r>
              <w:rPr>
                <w:b/>
                <w:bCs/>
                <w:color w:val="FFFFFF"/>
                <w:sz w:val="20"/>
                <w:szCs w:val="20"/>
              </w:rPr>
              <w:t xml:space="preserve">AI-augmented approach</w:t>
            </w:r>
          </w:p>
        </w:tc>
        <w:tc>
          <w:tcPr>
            <w:tcW w:type="dxa" w:w="1800"/>
            <w:tcBorders>
              <w:top w:val="single" w:color="CCCCCC" w:sz="4"/>
              <w:left w:val="single" w:color="CCCCCC" w:sz="4"/>
              <w:bottom w:val="single" w:color="CCCCCC" w:sz="4"/>
              <w:right w:val="single" w:color="CCCCCC" w:sz="4"/>
            </w:tcBorders>
            <w:shd w:fill="0B1F3A" w:color="auto" w:val="clear"/>
            <w:tcMar>
              <w:top w:type="dxa" w:w="100"/>
              <w:left w:type="dxa" w:w="140"/>
              <w:bottom w:type="dxa" w:w="100"/>
              <w:right w:type="dxa" w:w="140"/>
            </w:tcMar>
          </w:tcPr>
          <w:p>
            <w:pPr>
              <w:jc w:val="left"/>
            </w:pPr>
            <w:r>
              <w:rPr>
                <w:b/>
                <w:bCs/>
                <w:color w:val="FFFFFF"/>
                <w:sz w:val="20"/>
                <w:szCs w:val="20"/>
              </w:rPr>
              <w:t xml:space="preserve">Benefit</w:t>
            </w:r>
          </w:p>
        </w:tc>
      </w:tr>
      <w:tr>
        <w:tc>
          <w:tcPr>
            <w:tcW w:type="dxa" w:w="19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val="false"/>
                <w:bCs w:val="false"/>
                <w:color w:val="1E293B"/>
                <w:sz w:val="20"/>
                <w:szCs w:val="20"/>
              </w:rPr>
              <w:t xml:space="preserve">Requirements decomposition</w:t>
            </w:r>
          </w:p>
        </w:tc>
        <w:tc>
          <w:tcPr>
            <w:tcW w:type="dxa" w:w="26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val="false"/>
                <w:bCs w:val="false"/>
                <w:color w:val="1E293B"/>
                <w:sz w:val="20"/>
                <w:szCs w:val="20"/>
              </w:rPr>
              <w:t xml:space="preserve">Manual Word/Excel traceability; ambiguity missed until test execution</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val="false"/>
                <w:bCs w:val="false"/>
                <w:color w:val="1E293B"/>
                <w:sz w:val="20"/>
                <w:szCs w:val="20"/>
              </w:rPr>
              <w:t xml:space="preserve">LLM + DeFOSPAM parses requirements, flags ambiguity, generates candidate test conditions</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val="false"/>
                <w:bCs w:val="false"/>
                <w:color w:val="1E293B"/>
                <w:sz w:val="20"/>
                <w:szCs w:val="20"/>
              </w:rPr>
              <w:t xml:space="preserve">3–5× faster decomposition; earlier ambiguity detection</w:t>
            </w:r>
          </w:p>
        </w:tc>
      </w:tr>
      <w:tr>
        <w:tc>
          <w:tcPr>
            <w:tcW w:type="dxa" w:w="1920"/>
            <w:tcBorders>
              <w:top w:val="single" w:color="CCCCCC" w:sz="4"/>
              <w:left w:val="single" w:color="CCCCCC" w:sz="4"/>
              <w:bottom w:val="single" w:color="CCCCCC" w:sz="4"/>
              <w:right w:val="single" w:color="CCCCCC" w:sz="4"/>
            </w:tcBorders>
            <w:shd w:fill="F1F5F9" w:color="auto" w:val="clear"/>
            <w:tcMar>
              <w:top w:type="dxa" w:w="100"/>
              <w:left w:type="dxa" w:w="140"/>
              <w:bottom w:type="dxa" w:w="100"/>
              <w:right w:type="dxa" w:w="140"/>
            </w:tcMar>
          </w:tcPr>
          <w:p>
            <w:pPr>
              <w:jc w:val="left"/>
            </w:pPr>
            <w:r>
              <w:rPr>
                <w:b w:val="false"/>
                <w:bCs w:val="false"/>
                <w:color w:val="1E293B"/>
                <w:sz w:val="20"/>
                <w:szCs w:val="20"/>
              </w:rPr>
              <w:t xml:space="preserve">Test case design</w:t>
            </w:r>
          </w:p>
        </w:tc>
        <w:tc>
          <w:tcPr>
            <w:tcW w:type="dxa" w:w="2640"/>
            <w:tcBorders>
              <w:top w:val="single" w:color="CCCCCC" w:sz="4"/>
              <w:left w:val="single" w:color="CCCCCC" w:sz="4"/>
              <w:bottom w:val="single" w:color="CCCCCC" w:sz="4"/>
              <w:right w:val="single" w:color="CCCCCC" w:sz="4"/>
            </w:tcBorders>
            <w:shd w:fill="F1F5F9" w:color="auto" w:val="clear"/>
            <w:tcMar>
              <w:top w:type="dxa" w:w="100"/>
              <w:left w:type="dxa" w:w="140"/>
              <w:bottom w:type="dxa" w:w="100"/>
              <w:right w:type="dxa" w:w="140"/>
            </w:tcMar>
          </w:tcPr>
          <w:p>
            <w:pPr>
              <w:jc w:val="left"/>
            </w:pPr>
            <w:r>
              <w:rPr>
                <w:b w:val="false"/>
                <w:bCs w:val="false"/>
                <w:color w:val="1E293B"/>
                <w:sz w:val="20"/>
                <w:szCs w:val="20"/>
              </w:rPr>
              <w:t xml:space="preserve">Engineer-authored test cases based on experience</w:t>
            </w:r>
          </w:p>
        </w:tc>
        <w:tc>
          <w:tcPr>
            <w:tcW w:type="dxa" w:w="3000"/>
            <w:tcBorders>
              <w:top w:val="single" w:color="CCCCCC" w:sz="4"/>
              <w:left w:val="single" w:color="CCCCCC" w:sz="4"/>
              <w:bottom w:val="single" w:color="CCCCCC" w:sz="4"/>
              <w:right w:val="single" w:color="CCCCCC" w:sz="4"/>
            </w:tcBorders>
            <w:shd w:fill="F1F5F9" w:color="auto" w:val="clear"/>
            <w:tcMar>
              <w:top w:type="dxa" w:w="100"/>
              <w:left w:type="dxa" w:w="140"/>
              <w:bottom w:type="dxa" w:w="100"/>
              <w:right w:type="dxa" w:w="140"/>
            </w:tcMar>
          </w:tcPr>
          <w:p>
            <w:pPr>
              <w:jc w:val="left"/>
            </w:pPr>
            <w:r>
              <w:rPr>
                <w:b w:val="false"/>
                <w:bCs w:val="false"/>
                <w:color w:val="1E293B"/>
                <w:sz w:val="20"/>
                <w:szCs w:val="20"/>
              </w:rPr>
              <w:t xml:space="preserve">106-technique catalogue selects appropriate method; pairwise / combinatorial generators produce test set</w:t>
            </w:r>
          </w:p>
        </w:tc>
        <w:tc>
          <w:tcPr>
            <w:tcW w:type="dxa" w:w="1800"/>
            <w:tcBorders>
              <w:top w:val="single" w:color="CCCCCC" w:sz="4"/>
              <w:left w:val="single" w:color="CCCCCC" w:sz="4"/>
              <w:bottom w:val="single" w:color="CCCCCC" w:sz="4"/>
              <w:right w:val="single" w:color="CCCCCC" w:sz="4"/>
            </w:tcBorders>
            <w:shd w:fill="F1F5F9" w:color="auto" w:val="clear"/>
            <w:tcMar>
              <w:top w:type="dxa" w:w="100"/>
              <w:left w:type="dxa" w:w="140"/>
              <w:bottom w:type="dxa" w:w="100"/>
              <w:right w:type="dxa" w:w="140"/>
            </w:tcMar>
          </w:tcPr>
          <w:p>
            <w:pPr>
              <w:jc w:val="left"/>
            </w:pPr>
            <w:r>
              <w:rPr>
                <w:b w:val="false"/>
                <w:bCs w:val="false"/>
                <w:color w:val="1E293B"/>
                <w:sz w:val="20"/>
                <w:szCs w:val="20"/>
              </w:rPr>
              <w:t xml:space="preserve">10× more scenarios per engineer-day; defensible coverage rationale</w:t>
            </w:r>
          </w:p>
        </w:tc>
      </w:tr>
      <w:tr>
        <w:tc>
          <w:tcPr>
            <w:tcW w:type="dxa" w:w="19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val="false"/>
                <w:bCs w:val="false"/>
                <w:color w:val="1E293B"/>
                <w:sz w:val="20"/>
                <w:szCs w:val="20"/>
              </w:rPr>
              <w:t xml:space="preserve">Test data curation</w:t>
            </w:r>
          </w:p>
        </w:tc>
        <w:tc>
          <w:tcPr>
            <w:tcW w:type="dxa" w:w="26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val="false"/>
                <w:bCs w:val="false"/>
                <w:color w:val="1E293B"/>
                <w:sz w:val="20"/>
                <w:szCs w:val="20"/>
              </w:rPr>
              <w:t xml:space="preserve">Limited to collected sea-trial data</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val="false"/>
                <w:bCs w:val="false"/>
                <w:color w:val="1E293B"/>
                <w:sz w:val="20"/>
                <w:szCs w:val="20"/>
              </w:rPr>
              <w:t xml:space="preserve">Synthetic + simulated augmentation for rare events (small craft at night, heavy sea state, adversarial behaviour)</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val="false"/>
                <w:bCs w:val="false"/>
                <w:color w:val="1E293B"/>
                <w:sz w:val="20"/>
                <w:szCs w:val="20"/>
              </w:rPr>
              <w:t xml:space="preserve">Closes the long tail of risk; ODD coverage evidence for safety case</w:t>
            </w:r>
          </w:p>
        </w:tc>
      </w:tr>
      <w:tr>
        <w:tc>
          <w:tcPr>
            <w:tcW w:type="dxa" w:w="1920"/>
            <w:tcBorders>
              <w:top w:val="single" w:color="CCCCCC" w:sz="4"/>
              <w:left w:val="single" w:color="CCCCCC" w:sz="4"/>
              <w:bottom w:val="single" w:color="CCCCCC" w:sz="4"/>
              <w:right w:val="single" w:color="CCCCCC" w:sz="4"/>
            </w:tcBorders>
            <w:shd w:fill="F1F5F9" w:color="auto" w:val="clear"/>
            <w:tcMar>
              <w:top w:type="dxa" w:w="100"/>
              <w:left w:type="dxa" w:w="140"/>
              <w:bottom w:type="dxa" w:w="100"/>
              <w:right w:type="dxa" w:w="140"/>
            </w:tcMar>
          </w:tcPr>
          <w:p>
            <w:pPr>
              <w:jc w:val="left"/>
            </w:pPr>
            <w:r>
              <w:rPr>
                <w:b w:val="false"/>
                <w:bCs w:val="false"/>
                <w:color w:val="1E293B"/>
                <w:sz w:val="20"/>
                <w:szCs w:val="20"/>
              </w:rPr>
              <w:t xml:space="preserve">Test execution</w:t>
            </w:r>
          </w:p>
        </w:tc>
        <w:tc>
          <w:tcPr>
            <w:tcW w:type="dxa" w:w="2640"/>
            <w:tcBorders>
              <w:top w:val="single" w:color="CCCCCC" w:sz="4"/>
              <w:left w:val="single" w:color="CCCCCC" w:sz="4"/>
              <w:bottom w:val="single" w:color="CCCCCC" w:sz="4"/>
              <w:right w:val="single" w:color="CCCCCC" w:sz="4"/>
            </w:tcBorders>
            <w:shd w:fill="F1F5F9" w:color="auto" w:val="clear"/>
            <w:tcMar>
              <w:top w:type="dxa" w:w="100"/>
              <w:left w:type="dxa" w:w="140"/>
              <w:bottom w:type="dxa" w:w="100"/>
              <w:right w:type="dxa" w:w="140"/>
            </w:tcMar>
          </w:tcPr>
          <w:p>
            <w:pPr>
              <w:jc w:val="left"/>
            </w:pPr>
            <w:r>
              <w:rPr>
                <w:b w:val="false"/>
                <w:bCs w:val="false"/>
                <w:color w:val="1E293B"/>
                <w:sz w:val="20"/>
                <w:szCs w:val="20"/>
              </w:rPr>
              <w:t xml:space="preserve">Physical sea trials (expensive, weather-limited, low throughput)</w:t>
            </w:r>
          </w:p>
        </w:tc>
        <w:tc>
          <w:tcPr>
            <w:tcW w:type="dxa" w:w="3000"/>
            <w:tcBorders>
              <w:top w:val="single" w:color="CCCCCC" w:sz="4"/>
              <w:left w:val="single" w:color="CCCCCC" w:sz="4"/>
              <w:bottom w:val="single" w:color="CCCCCC" w:sz="4"/>
              <w:right w:val="single" w:color="CCCCCC" w:sz="4"/>
            </w:tcBorders>
            <w:shd w:fill="F1F5F9" w:color="auto" w:val="clear"/>
            <w:tcMar>
              <w:top w:type="dxa" w:w="100"/>
              <w:left w:type="dxa" w:w="140"/>
              <w:bottom w:type="dxa" w:w="100"/>
              <w:right w:type="dxa" w:w="140"/>
            </w:tcMar>
          </w:tcPr>
          <w:p>
            <w:pPr>
              <w:jc w:val="left"/>
            </w:pPr>
            <w:r>
              <w:rPr>
                <w:b w:val="false"/>
                <w:bCs w:val="false"/>
                <w:color w:val="1E293B"/>
                <w:sz w:val="20"/>
                <w:szCs w:val="20"/>
              </w:rPr>
              <w:t xml:space="preserve">Closed-loop digital-twin execution in Isaac Sim / AirSim-maritime; physical trials used as evidence anchors</w:t>
            </w:r>
          </w:p>
        </w:tc>
        <w:tc>
          <w:tcPr>
            <w:tcW w:type="dxa" w:w="1800"/>
            <w:tcBorders>
              <w:top w:val="single" w:color="CCCCCC" w:sz="4"/>
              <w:left w:val="single" w:color="CCCCCC" w:sz="4"/>
              <w:bottom w:val="single" w:color="CCCCCC" w:sz="4"/>
              <w:right w:val="single" w:color="CCCCCC" w:sz="4"/>
            </w:tcBorders>
            <w:shd w:fill="F1F5F9" w:color="auto" w:val="clear"/>
            <w:tcMar>
              <w:top w:type="dxa" w:w="100"/>
              <w:left w:type="dxa" w:w="140"/>
              <w:bottom w:type="dxa" w:w="100"/>
              <w:right w:type="dxa" w:w="140"/>
            </w:tcMar>
          </w:tcPr>
          <w:p>
            <w:pPr>
              <w:jc w:val="left"/>
            </w:pPr>
            <w:r>
              <w:rPr>
                <w:b w:val="false"/>
                <w:bCs w:val="false"/>
                <w:color w:val="1E293B"/>
                <w:sz w:val="20"/>
                <w:szCs w:val="20"/>
              </w:rPr>
              <w:t xml:space="preserve">Thousands of runs per week vs. dozens per quarter</w:t>
            </w:r>
          </w:p>
        </w:tc>
      </w:tr>
      <w:tr>
        <w:tc>
          <w:tcPr>
            <w:tcW w:type="dxa" w:w="19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val="false"/>
                <w:bCs w:val="false"/>
                <w:color w:val="1E293B"/>
                <w:sz w:val="20"/>
                <w:szCs w:val="20"/>
              </w:rPr>
              <w:t xml:space="preserve">Adversarial robustness</w:t>
            </w:r>
          </w:p>
        </w:tc>
        <w:tc>
          <w:tcPr>
            <w:tcW w:type="dxa" w:w="26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val="false"/>
                <w:bCs w:val="false"/>
                <w:color w:val="1E293B"/>
                <w:sz w:val="20"/>
                <w:szCs w:val="20"/>
              </w:rPr>
              <w:t xml:space="preserve">Rarely tested at all pre-deployment</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val="false"/>
                <w:bCs w:val="false"/>
                <w:color w:val="1E293B"/>
                <w:sz w:val="20"/>
                <w:szCs w:val="20"/>
              </w:rPr>
              <w:t xml:space="preserve">IBM ART / Foolbox CI-integrated attack suite with certified-robustness bounds</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val="false"/>
                <w:bCs w:val="false"/>
                <w:color w:val="1E293B"/>
                <w:sz w:val="20"/>
                <w:szCs w:val="20"/>
              </w:rPr>
              <w:t xml:space="preserve">Article 36 evidence; known safety margins</w:t>
            </w:r>
          </w:p>
        </w:tc>
      </w:tr>
      <w:tr>
        <w:tc>
          <w:tcPr>
            <w:tcW w:type="dxa" w:w="1920"/>
            <w:tcBorders>
              <w:top w:val="single" w:color="CCCCCC" w:sz="4"/>
              <w:left w:val="single" w:color="CCCCCC" w:sz="4"/>
              <w:bottom w:val="single" w:color="CCCCCC" w:sz="4"/>
              <w:right w:val="single" w:color="CCCCCC" w:sz="4"/>
            </w:tcBorders>
            <w:shd w:fill="F1F5F9" w:color="auto" w:val="clear"/>
            <w:tcMar>
              <w:top w:type="dxa" w:w="100"/>
              <w:left w:type="dxa" w:w="140"/>
              <w:bottom w:type="dxa" w:w="100"/>
              <w:right w:type="dxa" w:w="140"/>
            </w:tcMar>
          </w:tcPr>
          <w:p>
            <w:pPr>
              <w:jc w:val="left"/>
            </w:pPr>
            <w:r>
              <w:rPr>
                <w:b w:val="false"/>
                <w:bCs w:val="false"/>
                <w:color w:val="1E293B"/>
                <w:sz w:val="20"/>
                <w:szCs w:val="20"/>
              </w:rPr>
              <w:t xml:space="preserve">Safety case authoring</w:t>
            </w:r>
          </w:p>
        </w:tc>
        <w:tc>
          <w:tcPr>
            <w:tcW w:type="dxa" w:w="2640"/>
            <w:tcBorders>
              <w:top w:val="single" w:color="CCCCCC" w:sz="4"/>
              <w:left w:val="single" w:color="CCCCCC" w:sz="4"/>
              <w:bottom w:val="single" w:color="CCCCCC" w:sz="4"/>
              <w:right w:val="single" w:color="CCCCCC" w:sz="4"/>
            </w:tcBorders>
            <w:shd w:fill="F1F5F9" w:color="auto" w:val="clear"/>
            <w:tcMar>
              <w:top w:type="dxa" w:w="100"/>
              <w:left w:type="dxa" w:w="140"/>
              <w:bottom w:type="dxa" w:w="100"/>
              <w:right w:type="dxa" w:w="140"/>
            </w:tcMar>
          </w:tcPr>
          <w:p>
            <w:pPr>
              <w:jc w:val="left"/>
            </w:pPr>
            <w:r>
              <w:rPr>
                <w:b w:val="false"/>
                <w:bCs w:val="false"/>
                <w:color w:val="1E293B"/>
                <w:sz w:val="20"/>
                <w:szCs w:val="20"/>
              </w:rPr>
              <w:t xml:space="preserve">Weeks of manual GSN drafting, prone to unsupported claims</w:t>
            </w:r>
          </w:p>
        </w:tc>
        <w:tc>
          <w:tcPr>
            <w:tcW w:type="dxa" w:w="3000"/>
            <w:tcBorders>
              <w:top w:val="single" w:color="CCCCCC" w:sz="4"/>
              <w:left w:val="single" w:color="CCCCCC" w:sz="4"/>
              <w:bottom w:val="single" w:color="CCCCCC" w:sz="4"/>
              <w:right w:val="single" w:color="CCCCCC" w:sz="4"/>
            </w:tcBorders>
            <w:shd w:fill="F1F5F9" w:color="auto" w:val="clear"/>
            <w:tcMar>
              <w:top w:type="dxa" w:w="100"/>
              <w:left w:type="dxa" w:w="140"/>
              <w:bottom w:type="dxa" w:w="100"/>
              <w:right w:type="dxa" w:w="140"/>
            </w:tcMar>
          </w:tcPr>
          <w:p>
            <w:pPr>
              <w:jc w:val="left"/>
            </w:pPr>
            <w:r>
              <w:rPr>
                <w:b w:val="false"/>
                <w:bCs w:val="false"/>
                <w:color w:val="1E293B"/>
                <w:sz w:val="20"/>
                <w:szCs w:val="20"/>
              </w:rPr>
              <w:t xml:space="preserve">LLM GSN critique + auto-RTM generation, human sign-off</w:t>
            </w:r>
          </w:p>
        </w:tc>
        <w:tc>
          <w:tcPr>
            <w:tcW w:type="dxa" w:w="1800"/>
            <w:tcBorders>
              <w:top w:val="single" w:color="CCCCCC" w:sz="4"/>
              <w:left w:val="single" w:color="CCCCCC" w:sz="4"/>
              <w:bottom w:val="single" w:color="CCCCCC" w:sz="4"/>
              <w:right w:val="single" w:color="CCCCCC" w:sz="4"/>
            </w:tcBorders>
            <w:shd w:fill="F1F5F9" w:color="auto" w:val="clear"/>
            <w:tcMar>
              <w:top w:type="dxa" w:w="100"/>
              <w:left w:type="dxa" w:w="140"/>
              <w:bottom w:type="dxa" w:w="100"/>
              <w:right w:type="dxa" w:w="140"/>
            </w:tcMar>
          </w:tcPr>
          <w:p>
            <w:pPr>
              <w:jc w:val="left"/>
            </w:pPr>
            <w:r>
              <w:rPr>
                <w:b w:val="false"/>
                <w:bCs w:val="false"/>
                <w:color w:val="1E293B"/>
                <w:sz w:val="20"/>
                <w:szCs w:val="20"/>
              </w:rPr>
              <w:t xml:space="preserve">Weeks → days; no unsupported claims reach MAA review</w:t>
            </w:r>
          </w:p>
        </w:tc>
      </w:tr>
      <w:tr>
        <w:tc>
          <w:tcPr>
            <w:tcW w:type="dxa" w:w="19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val="false"/>
                <w:bCs w:val="false"/>
                <w:color w:val="1E293B"/>
                <w:sz w:val="20"/>
                <w:szCs w:val="20"/>
              </w:rPr>
              <w:t xml:space="preserve">In-service monitoring</w:t>
            </w:r>
          </w:p>
        </w:tc>
        <w:tc>
          <w:tcPr>
            <w:tcW w:type="dxa" w:w="26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val="false"/>
                <w:bCs w:val="false"/>
                <w:color w:val="1E293B"/>
                <w:sz w:val="20"/>
                <w:szCs w:val="20"/>
              </w:rPr>
              <w:t xml:space="preserve">Periodic re-qualification events only</w:t>
            </w:r>
          </w:p>
        </w:tc>
        <w:tc>
          <w:tcPr>
            <w:tcW w:type="dxa" w:w="3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val="false"/>
                <w:bCs w:val="false"/>
                <w:color w:val="1E293B"/>
                <w:sz w:val="20"/>
                <w:szCs w:val="20"/>
              </w:rPr>
              <w:t xml:space="preserve">Continuous drift / SHAP / canary monitoring feeding back to evidence store</w:t>
            </w:r>
          </w:p>
        </w:tc>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val="false"/>
                <w:bCs w:val="false"/>
                <w:color w:val="1E293B"/>
                <w:sz w:val="20"/>
                <w:szCs w:val="20"/>
              </w:rPr>
              <w:t xml:space="preserve">Weeks-of-warning, not post-incident months</w:t>
            </w:r>
          </w:p>
        </w:tc>
      </w:tr>
    </w:tbl>
    <w:p>
      <w:pPr>
        <w:pStyle w:val="Heading1"/>
        <w:spacing w:after="180" w:before="360"/>
      </w:pPr>
      <w:r>
        <w:rPr>
          <w:b/>
          <w:bCs/>
          <w:color w:val="0B1F3A"/>
          <w:sz w:val="36"/>
          <w:szCs w:val="36"/>
        </w:rPr>
        <w:t xml:space="preserve">6. AI tools required to deliver these benefits</w:t>
      </w:r>
    </w:p>
    <w:p>
      <w:pPr>
        <w:spacing w:after="140" w:line="300"/>
      </w:pPr>
      <w:r>
        <w:rPr>
          <w:color w:val="1E293B"/>
          <w:sz w:val="22"/>
          <w:szCs w:val="22"/>
        </w:rPr>
        <w:t xml:space="preserve">The tooling catalogue below maps capabilities to candidate frameworks. None of these tools is a one-off certifier — they are components of a lifecycle assurance pipeline. Each tool must itself be characterised, versioned and governed (the 'tester-AI is a subject of assurance'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4"/>
              <w:left w:val="single" w:color="CCCCCC" w:sz="4"/>
              <w:bottom w:val="single" w:color="CCCCCC" w:sz="4"/>
              <w:right w:val="single" w:color="CCCCCC" w:sz="4"/>
            </w:tcBorders>
            <w:shd w:fill="0B1F3A" w:color="auto" w:val="clear"/>
            <w:tcMar>
              <w:top w:type="dxa" w:w="100"/>
              <w:left w:type="dxa" w:w="140"/>
              <w:bottom w:type="dxa" w:w="100"/>
              <w:right w:type="dxa" w:w="140"/>
            </w:tcMar>
          </w:tcPr>
          <w:p>
            <w:pPr>
              <w:jc w:val="left"/>
            </w:pPr>
            <w:r>
              <w:rPr>
                <w:b/>
                <w:bCs/>
                <w:color w:val="FFFFFF"/>
                <w:sz w:val="20"/>
                <w:szCs w:val="20"/>
              </w:rPr>
              <w:t xml:space="preserve">Capability</w:t>
            </w:r>
          </w:p>
        </w:tc>
        <w:tc>
          <w:tcPr>
            <w:tcW w:type="dxa" w:w="3360"/>
            <w:tcBorders>
              <w:top w:val="single" w:color="CCCCCC" w:sz="4"/>
              <w:left w:val="single" w:color="CCCCCC" w:sz="4"/>
              <w:bottom w:val="single" w:color="CCCCCC" w:sz="4"/>
              <w:right w:val="single" w:color="CCCCCC" w:sz="4"/>
            </w:tcBorders>
            <w:shd w:fill="0B1F3A" w:color="auto" w:val="clear"/>
            <w:tcMar>
              <w:top w:type="dxa" w:w="100"/>
              <w:left w:type="dxa" w:w="140"/>
              <w:bottom w:type="dxa" w:w="100"/>
              <w:right w:type="dxa" w:w="140"/>
            </w:tcMar>
          </w:tcPr>
          <w:p>
            <w:pPr>
              <w:jc w:val="left"/>
            </w:pPr>
            <w:r>
              <w:rPr>
                <w:b/>
                <w:bCs/>
                <w:color w:val="FFFFFF"/>
                <w:sz w:val="20"/>
                <w:szCs w:val="20"/>
              </w:rPr>
              <w:t xml:space="preserve">Example AI Tools / Frameworks</w:t>
            </w:r>
          </w:p>
        </w:tc>
        <w:tc>
          <w:tcPr>
            <w:tcW w:type="dxa" w:w="3600"/>
            <w:tcBorders>
              <w:top w:val="single" w:color="CCCCCC" w:sz="4"/>
              <w:left w:val="single" w:color="CCCCCC" w:sz="4"/>
              <w:bottom w:val="single" w:color="CCCCCC" w:sz="4"/>
              <w:right w:val="single" w:color="CCCCCC" w:sz="4"/>
            </w:tcBorders>
            <w:shd w:fill="0B1F3A" w:color="auto" w:val="clear"/>
            <w:tcMar>
              <w:top w:type="dxa" w:w="100"/>
              <w:left w:type="dxa" w:w="140"/>
              <w:bottom w:type="dxa" w:w="100"/>
              <w:right w:type="dxa" w:w="140"/>
            </w:tcMar>
          </w:tcPr>
          <w:p>
            <w:pPr>
              <w:jc w:val="left"/>
            </w:pPr>
            <w:r>
              <w:rPr>
                <w:b/>
                <w:bCs/>
                <w:color w:val="FFFFFF"/>
                <w:sz w:val="20"/>
                <w:szCs w:val="20"/>
              </w:rPr>
              <w:t xml:space="preserve">T&amp;E Purpose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val="false"/>
                <w:bCs w:val="false"/>
                <w:color w:val="1E293B"/>
                <w:sz w:val="20"/>
                <w:szCs w:val="20"/>
              </w:rPr>
              <w:t xml:space="preserve">Requirements parsing &amp; test generation</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val="false"/>
                <w:bCs w:val="false"/>
                <w:color w:val="1E293B"/>
                <w:sz w:val="20"/>
                <w:szCs w:val="20"/>
              </w:rPr>
              <w:t xml:space="preserve">OpenRequirements DeFOSPAM, LLM copilots (Claude, GPT-4), Spec-by-Example libraries</w:t>
            </w:r>
          </w:p>
        </w:tc>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val="false"/>
                <w:bCs w:val="false"/>
                <w:color w:val="1E293B"/>
                <w:sz w:val="20"/>
                <w:szCs w:val="20"/>
              </w:rPr>
              <w:t xml:space="preserve">Parse requirements (JSP 520, ODD specs) into testable scenarios; generate metamorphic and boundary test cases.</w:t>
            </w:r>
          </w:p>
        </w:tc>
      </w:tr>
      <w:tr>
        <w:tc>
          <w:tcPr>
            <w:tcW w:type="dxa" w:w="2400"/>
            <w:tcBorders>
              <w:top w:val="single" w:color="CCCCCC" w:sz="4"/>
              <w:left w:val="single" w:color="CCCCCC" w:sz="4"/>
              <w:bottom w:val="single" w:color="CCCCCC" w:sz="4"/>
              <w:right w:val="single" w:color="CCCCCC" w:sz="4"/>
            </w:tcBorders>
            <w:shd w:fill="F1F5F9" w:color="auto" w:val="clear"/>
            <w:tcMar>
              <w:top w:type="dxa" w:w="100"/>
              <w:left w:type="dxa" w:w="140"/>
              <w:bottom w:type="dxa" w:w="100"/>
              <w:right w:type="dxa" w:w="140"/>
            </w:tcMar>
          </w:tcPr>
          <w:p>
            <w:pPr>
              <w:jc w:val="left"/>
            </w:pPr>
            <w:r>
              <w:rPr>
                <w:b w:val="false"/>
                <w:bCs w:val="false"/>
                <w:color w:val="1E293B"/>
                <w:sz w:val="20"/>
                <w:szCs w:val="20"/>
              </w:rPr>
              <w:t xml:space="preserve">Test design technique catalogue</w:t>
            </w:r>
          </w:p>
        </w:tc>
        <w:tc>
          <w:tcPr>
            <w:tcW w:type="dxa" w:w="3360"/>
            <w:tcBorders>
              <w:top w:val="single" w:color="CCCCCC" w:sz="4"/>
              <w:left w:val="single" w:color="CCCCCC" w:sz="4"/>
              <w:bottom w:val="single" w:color="CCCCCC" w:sz="4"/>
              <w:right w:val="single" w:color="CCCCCC" w:sz="4"/>
            </w:tcBorders>
            <w:shd w:fill="F1F5F9" w:color="auto" w:val="clear"/>
            <w:tcMar>
              <w:top w:type="dxa" w:w="100"/>
              <w:left w:type="dxa" w:w="140"/>
              <w:bottom w:type="dxa" w:w="100"/>
              <w:right w:type="dxa" w:w="140"/>
            </w:tcMar>
          </w:tcPr>
          <w:p>
            <w:pPr>
              <w:jc w:val="left"/>
            </w:pPr>
            <w:r>
              <w:rPr>
                <w:b w:val="false"/>
                <w:bCs w:val="false"/>
                <w:color w:val="1E293B"/>
                <w:sz w:val="20"/>
                <w:szCs w:val="20"/>
              </w:rPr>
              <w:t xml:space="preserve">106-technique library (BVA, EP, pairwise, decision tables, state transitions)</w:t>
            </w:r>
          </w:p>
        </w:tc>
        <w:tc>
          <w:tcPr>
            <w:tcW w:type="dxa" w:w="3600"/>
            <w:tcBorders>
              <w:top w:val="single" w:color="CCCCCC" w:sz="4"/>
              <w:left w:val="single" w:color="CCCCCC" w:sz="4"/>
              <w:bottom w:val="single" w:color="CCCCCC" w:sz="4"/>
              <w:right w:val="single" w:color="CCCCCC" w:sz="4"/>
            </w:tcBorders>
            <w:shd w:fill="F1F5F9" w:color="auto" w:val="clear"/>
            <w:tcMar>
              <w:top w:type="dxa" w:w="100"/>
              <w:left w:type="dxa" w:w="140"/>
              <w:bottom w:type="dxa" w:w="100"/>
              <w:right w:type="dxa" w:w="140"/>
            </w:tcMar>
          </w:tcPr>
          <w:p>
            <w:pPr>
              <w:jc w:val="left"/>
            </w:pPr>
            <w:r>
              <w:rPr>
                <w:b w:val="false"/>
                <w:bCs w:val="false"/>
                <w:color w:val="1E293B"/>
                <w:sz w:val="20"/>
                <w:szCs w:val="20"/>
              </w:rPr>
              <w:t xml:space="preserve">Pick the right technique per requirement class; automate enumeration of test conditions.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val="false"/>
                <w:bCs w:val="false"/>
                <w:color w:val="1E293B"/>
                <w:sz w:val="20"/>
                <w:szCs w:val="20"/>
              </w:rPr>
              <w:t xml:space="preserve">Synthetic sensor data generation</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val="false"/>
                <w:bCs w:val="false"/>
                <w:color w:val="1E293B"/>
                <w:sz w:val="20"/>
                <w:szCs w:val="20"/>
              </w:rPr>
              <w:t xml:space="preserve">NVIDIA TAO + DriveSim / Isaac Sim, StyleGAN / diffusion (radar returns, sonar spectrograms), Unreal + VBS4 maritime</w:t>
            </w:r>
          </w:p>
        </w:tc>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val="false"/>
                <w:bCs w:val="false"/>
                <w:color w:val="1E293B"/>
                <w:sz w:val="20"/>
                <w:szCs w:val="20"/>
              </w:rPr>
              <w:t xml:space="preserve">Manufacture rare-event imagery (small boats in fog, floating mines, swimmers), domain-randomised sensor conditions.</w:t>
            </w:r>
          </w:p>
        </w:tc>
      </w:tr>
      <w:tr>
        <w:tc>
          <w:tcPr>
            <w:tcW w:type="dxa" w:w="2400"/>
            <w:tcBorders>
              <w:top w:val="single" w:color="CCCCCC" w:sz="4"/>
              <w:left w:val="single" w:color="CCCCCC" w:sz="4"/>
              <w:bottom w:val="single" w:color="CCCCCC" w:sz="4"/>
              <w:right w:val="single" w:color="CCCCCC" w:sz="4"/>
            </w:tcBorders>
            <w:shd w:fill="F1F5F9" w:color="auto" w:val="clear"/>
            <w:tcMar>
              <w:top w:type="dxa" w:w="100"/>
              <w:left w:type="dxa" w:w="140"/>
              <w:bottom w:type="dxa" w:w="100"/>
              <w:right w:type="dxa" w:w="140"/>
            </w:tcMar>
          </w:tcPr>
          <w:p>
            <w:pPr>
              <w:jc w:val="left"/>
            </w:pPr>
            <w:r>
              <w:rPr>
                <w:b w:val="false"/>
                <w:bCs w:val="false"/>
                <w:color w:val="1E293B"/>
                <w:sz w:val="20"/>
                <w:szCs w:val="20"/>
              </w:rPr>
              <w:t xml:space="preserve">Digital twin / simulation</w:t>
            </w:r>
          </w:p>
        </w:tc>
        <w:tc>
          <w:tcPr>
            <w:tcW w:type="dxa" w:w="3360"/>
            <w:tcBorders>
              <w:top w:val="single" w:color="CCCCCC" w:sz="4"/>
              <w:left w:val="single" w:color="CCCCCC" w:sz="4"/>
              <w:bottom w:val="single" w:color="CCCCCC" w:sz="4"/>
              <w:right w:val="single" w:color="CCCCCC" w:sz="4"/>
            </w:tcBorders>
            <w:shd w:fill="F1F5F9" w:color="auto" w:val="clear"/>
            <w:tcMar>
              <w:top w:type="dxa" w:w="100"/>
              <w:left w:type="dxa" w:w="140"/>
              <w:bottom w:type="dxa" w:w="100"/>
              <w:right w:type="dxa" w:w="140"/>
            </w:tcMar>
          </w:tcPr>
          <w:p>
            <w:pPr>
              <w:jc w:val="left"/>
            </w:pPr>
            <w:r>
              <w:rPr>
                <w:b w:val="false"/>
                <w:bCs w:val="false"/>
                <w:color w:val="1E293B"/>
                <w:sz w:val="20"/>
                <w:szCs w:val="20"/>
              </w:rPr>
              <w:t xml:space="preserve">Isaac Sim, ROS Gazebo, AirSim (naval plugin), Project Nautilus, CARLA-maritime</w:t>
            </w:r>
          </w:p>
        </w:tc>
        <w:tc>
          <w:tcPr>
            <w:tcW w:type="dxa" w:w="3600"/>
            <w:tcBorders>
              <w:top w:val="single" w:color="CCCCCC" w:sz="4"/>
              <w:left w:val="single" w:color="CCCCCC" w:sz="4"/>
              <w:bottom w:val="single" w:color="CCCCCC" w:sz="4"/>
              <w:right w:val="single" w:color="CCCCCC" w:sz="4"/>
            </w:tcBorders>
            <w:shd w:fill="F1F5F9" w:color="auto" w:val="clear"/>
            <w:tcMar>
              <w:top w:type="dxa" w:w="100"/>
              <w:left w:type="dxa" w:w="140"/>
              <w:bottom w:type="dxa" w:w="100"/>
              <w:right w:type="dxa" w:w="140"/>
            </w:tcMar>
          </w:tcPr>
          <w:p>
            <w:pPr>
              <w:jc w:val="left"/>
            </w:pPr>
            <w:r>
              <w:rPr>
                <w:b w:val="false"/>
                <w:bCs w:val="false"/>
                <w:color w:val="1E293B"/>
                <w:sz w:val="20"/>
                <w:szCs w:val="20"/>
              </w:rPr>
              <w:t xml:space="preserve">Physics-accurate ship motion, sea-state, radar multipath, LiDAR and IR signatures for closed-loop perception tests.</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val="false"/>
                <w:bCs w:val="false"/>
                <w:color w:val="1E293B"/>
                <w:sz w:val="20"/>
                <w:szCs w:val="20"/>
              </w:rPr>
              <w:t xml:space="preserve">Scenario DSL &amp; orchestration</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val="false"/>
                <w:bCs w:val="false"/>
                <w:color w:val="1E293B"/>
                <w:sz w:val="20"/>
                <w:szCs w:val="20"/>
              </w:rPr>
              <w:t xml:space="preserve">OpenSCENARIO 2.0, Scenic, MODALAI-Sim</w:t>
            </w:r>
          </w:p>
        </w:tc>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val="false"/>
                <w:bCs w:val="false"/>
                <w:color w:val="1E293B"/>
                <w:sz w:val="20"/>
                <w:szCs w:val="20"/>
              </w:rPr>
              <w:t xml:space="preserve">Programmable adversary behaviours (collision, loitering, swarm) and reproducible environment scripts.</w:t>
            </w:r>
          </w:p>
        </w:tc>
      </w:tr>
      <w:tr>
        <w:tc>
          <w:tcPr>
            <w:tcW w:type="dxa" w:w="2400"/>
            <w:tcBorders>
              <w:top w:val="single" w:color="CCCCCC" w:sz="4"/>
              <w:left w:val="single" w:color="CCCCCC" w:sz="4"/>
              <w:bottom w:val="single" w:color="CCCCCC" w:sz="4"/>
              <w:right w:val="single" w:color="CCCCCC" w:sz="4"/>
            </w:tcBorders>
            <w:shd w:fill="F1F5F9" w:color="auto" w:val="clear"/>
            <w:tcMar>
              <w:top w:type="dxa" w:w="100"/>
              <w:left w:type="dxa" w:w="140"/>
              <w:bottom w:type="dxa" w:w="100"/>
              <w:right w:type="dxa" w:w="140"/>
            </w:tcMar>
          </w:tcPr>
          <w:p>
            <w:pPr>
              <w:jc w:val="left"/>
            </w:pPr>
            <w:r>
              <w:rPr>
                <w:b w:val="false"/>
                <w:bCs w:val="false"/>
                <w:color w:val="1E293B"/>
                <w:sz w:val="20"/>
                <w:szCs w:val="20"/>
              </w:rPr>
              <w:t xml:space="preserve">Adversarial robustness testing</w:t>
            </w:r>
          </w:p>
        </w:tc>
        <w:tc>
          <w:tcPr>
            <w:tcW w:type="dxa" w:w="3360"/>
            <w:tcBorders>
              <w:top w:val="single" w:color="CCCCCC" w:sz="4"/>
              <w:left w:val="single" w:color="CCCCCC" w:sz="4"/>
              <w:bottom w:val="single" w:color="CCCCCC" w:sz="4"/>
              <w:right w:val="single" w:color="CCCCCC" w:sz="4"/>
            </w:tcBorders>
            <w:shd w:fill="F1F5F9" w:color="auto" w:val="clear"/>
            <w:tcMar>
              <w:top w:type="dxa" w:w="100"/>
              <w:left w:type="dxa" w:w="140"/>
              <w:bottom w:type="dxa" w:w="100"/>
              <w:right w:type="dxa" w:w="140"/>
            </w:tcMar>
          </w:tcPr>
          <w:p>
            <w:pPr>
              <w:jc w:val="left"/>
            </w:pPr>
            <w:r>
              <w:rPr>
                <w:b w:val="false"/>
                <w:bCs w:val="false"/>
                <w:color w:val="1E293B"/>
                <w:sz w:val="20"/>
                <w:szCs w:val="20"/>
              </w:rPr>
              <w:t xml:space="preserve">IBM Adversarial Robustness Toolbox (ART), Foolbox, CleverHans, TextAttack (for LLM subsystems)</w:t>
            </w:r>
          </w:p>
        </w:tc>
        <w:tc>
          <w:tcPr>
            <w:tcW w:type="dxa" w:w="3600"/>
            <w:tcBorders>
              <w:top w:val="single" w:color="CCCCCC" w:sz="4"/>
              <w:left w:val="single" w:color="CCCCCC" w:sz="4"/>
              <w:bottom w:val="single" w:color="CCCCCC" w:sz="4"/>
              <w:right w:val="single" w:color="CCCCCC" w:sz="4"/>
            </w:tcBorders>
            <w:shd w:fill="F1F5F9" w:color="auto" w:val="clear"/>
            <w:tcMar>
              <w:top w:type="dxa" w:w="100"/>
              <w:left w:type="dxa" w:w="140"/>
              <w:bottom w:type="dxa" w:w="100"/>
              <w:right w:type="dxa" w:w="140"/>
            </w:tcMar>
          </w:tcPr>
          <w:p>
            <w:pPr>
              <w:jc w:val="left"/>
            </w:pPr>
            <w:r>
              <w:rPr>
                <w:b w:val="false"/>
                <w:bCs w:val="false"/>
                <w:color w:val="1E293B"/>
                <w:sz w:val="20"/>
                <w:szCs w:val="20"/>
              </w:rPr>
              <w:t xml:space="preserve">FGSM / PGD / patch attacks on vision classifiers; certified-robustness bounds for Article 36 evidence.</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val="false"/>
                <w:bCs w:val="false"/>
                <w:color w:val="1E293B"/>
                <w:sz w:val="20"/>
                <w:szCs w:val="20"/>
              </w:rPr>
              <w:t xml:space="preserve">Red-team LLM agents</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val="false"/>
                <w:bCs w:val="false"/>
                <w:color w:val="1E293B"/>
                <w:sz w:val="20"/>
                <w:szCs w:val="20"/>
              </w:rPr>
              <w:t xml:space="preserve">Garak, PyRIT, custom role-play agents</w:t>
            </w:r>
          </w:p>
        </w:tc>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val="false"/>
                <w:bCs w:val="false"/>
                <w:color w:val="1E293B"/>
                <w:sz w:val="20"/>
                <w:szCs w:val="20"/>
              </w:rPr>
              <w:t xml:space="preserve">Stress-test any LLM-in-the-loop components (e.g. mission planner) for prompt-injection and policy evasion.</w:t>
            </w:r>
          </w:p>
        </w:tc>
      </w:tr>
      <w:tr>
        <w:tc>
          <w:tcPr>
            <w:tcW w:type="dxa" w:w="2400"/>
            <w:tcBorders>
              <w:top w:val="single" w:color="CCCCCC" w:sz="4"/>
              <w:left w:val="single" w:color="CCCCCC" w:sz="4"/>
              <w:bottom w:val="single" w:color="CCCCCC" w:sz="4"/>
              <w:right w:val="single" w:color="CCCCCC" w:sz="4"/>
            </w:tcBorders>
            <w:shd w:fill="F1F5F9" w:color="auto" w:val="clear"/>
            <w:tcMar>
              <w:top w:type="dxa" w:w="100"/>
              <w:left w:type="dxa" w:w="140"/>
              <w:bottom w:type="dxa" w:w="100"/>
              <w:right w:type="dxa" w:w="140"/>
            </w:tcMar>
          </w:tcPr>
          <w:p>
            <w:pPr>
              <w:jc w:val="left"/>
            </w:pPr>
            <w:r>
              <w:rPr>
                <w:b w:val="false"/>
                <w:bCs w:val="false"/>
                <w:color w:val="1E293B"/>
                <w:sz w:val="20"/>
                <w:szCs w:val="20"/>
              </w:rPr>
              <w:t xml:space="preserve">Coverage &amp; labelling tools</w:t>
            </w:r>
          </w:p>
        </w:tc>
        <w:tc>
          <w:tcPr>
            <w:tcW w:type="dxa" w:w="3360"/>
            <w:tcBorders>
              <w:top w:val="single" w:color="CCCCCC" w:sz="4"/>
              <w:left w:val="single" w:color="CCCCCC" w:sz="4"/>
              <w:bottom w:val="single" w:color="CCCCCC" w:sz="4"/>
              <w:right w:val="single" w:color="CCCCCC" w:sz="4"/>
            </w:tcBorders>
            <w:shd w:fill="F1F5F9" w:color="auto" w:val="clear"/>
            <w:tcMar>
              <w:top w:type="dxa" w:w="100"/>
              <w:left w:type="dxa" w:w="140"/>
              <w:bottom w:type="dxa" w:w="100"/>
              <w:right w:type="dxa" w:w="140"/>
            </w:tcMar>
          </w:tcPr>
          <w:p>
            <w:pPr>
              <w:jc w:val="left"/>
            </w:pPr>
            <w:r>
              <w:rPr>
                <w:b w:val="false"/>
                <w:bCs w:val="false"/>
                <w:color w:val="1E293B"/>
                <w:sz w:val="20"/>
                <w:szCs w:val="20"/>
              </w:rPr>
              <w:t xml:space="preserve">CVAT, FiftyOne, Labelbox + active-learning loop</w:t>
            </w:r>
          </w:p>
        </w:tc>
        <w:tc>
          <w:tcPr>
            <w:tcW w:type="dxa" w:w="3600"/>
            <w:tcBorders>
              <w:top w:val="single" w:color="CCCCCC" w:sz="4"/>
              <w:left w:val="single" w:color="CCCCCC" w:sz="4"/>
              <w:bottom w:val="single" w:color="CCCCCC" w:sz="4"/>
              <w:right w:val="single" w:color="CCCCCC" w:sz="4"/>
            </w:tcBorders>
            <w:shd w:fill="F1F5F9" w:color="auto" w:val="clear"/>
            <w:tcMar>
              <w:top w:type="dxa" w:w="100"/>
              <w:left w:type="dxa" w:w="140"/>
              <w:bottom w:type="dxa" w:w="100"/>
              <w:right w:type="dxa" w:w="140"/>
            </w:tcMar>
          </w:tcPr>
          <w:p>
            <w:pPr>
              <w:jc w:val="left"/>
            </w:pPr>
            <w:r>
              <w:rPr>
                <w:b w:val="false"/>
                <w:bCs w:val="false"/>
                <w:color w:val="1E293B"/>
                <w:sz w:val="20"/>
                <w:szCs w:val="20"/>
              </w:rPr>
              <w:t xml:space="preserve">Measure coverage of ODD states and rare classes; grow the labelled corpus efficiently.</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val="false"/>
                <w:bCs w:val="false"/>
                <w:color w:val="1E293B"/>
                <w:sz w:val="20"/>
                <w:szCs w:val="20"/>
              </w:rPr>
              <w:t xml:space="preserve">Drift &amp; online assurance</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val="false"/>
                <w:bCs w:val="false"/>
                <w:color w:val="1E293B"/>
                <w:sz w:val="20"/>
                <w:szCs w:val="20"/>
              </w:rPr>
              <w:t xml:space="preserve">Evidently AI, Alibi Detect, Arize, production-SHAP</w:t>
            </w:r>
          </w:p>
        </w:tc>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val="false"/>
                <w:bCs w:val="false"/>
                <w:color w:val="1E293B"/>
                <w:sz w:val="20"/>
                <w:szCs w:val="20"/>
              </w:rPr>
              <w:t xml:space="preserve">Post-deployment data / concept / performance drift alarms feeding back to the AMLAS evidence store.</w:t>
            </w:r>
          </w:p>
        </w:tc>
      </w:tr>
      <w:tr>
        <w:tc>
          <w:tcPr>
            <w:tcW w:type="dxa" w:w="2400"/>
            <w:tcBorders>
              <w:top w:val="single" w:color="CCCCCC" w:sz="4"/>
              <w:left w:val="single" w:color="CCCCCC" w:sz="4"/>
              <w:bottom w:val="single" w:color="CCCCCC" w:sz="4"/>
              <w:right w:val="single" w:color="CCCCCC" w:sz="4"/>
            </w:tcBorders>
            <w:shd w:fill="F1F5F9" w:color="auto" w:val="clear"/>
            <w:tcMar>
              <w:top w:type="dxa" w:w="100"/>
              <w:left w:type="dxa" w:w="140"/>
              <w:bottom w:type="dxa" w:w="100"/>
              <w:right w:type="dxa" w:w="140"/>
            </w:tcMar>
          </w:tcPr>
          <w:p>
            <w:pPr>
              <w:jc w:val="left"/>
            </w:pPr>
            <w:r>
              <w:rPr>
                <w:b w:val="false"/>
                <w:bCs w:val="false"/>
                <w:color w:val="1E293B"/>
                <w:sz w:val="20"/>
                <w:szCs w:val="20"/>
              </w:rPr>
              <w:t xml:space="preserve">Explainability &amp; calibration</w:t>
            </w:r>
          </w:p>
        </w:tc>
        <w:tc>
          <w:tcPr>
            <w:tcW w:type="dxa" w:w="3360"/>
            <w:tcBorders>
              <w:top w:val="single" w:color="CCCCCC" w:sz="4"/>
              <w:left w:val="single" w:color="CCCCCC" w:sz="4"/>
              <w:bottom w:val="single" w:color="CCCCCC" w:sz="4"/>
              <w:right w:val="single" w:color="CCCCCC" w:sz="4"/>
            </w:tcBorders>
            <w:shd w:fill="F1F5F9" w:color="auto" w:val="clear"/>
            <w:tcMar>
              <w:top w:type="dxa" w:w="100"/>
              <w:left w:type="dxa" w:w="140"/>
              <w:bottom w:type="dxa" w:w="100"/>
              <w:right w:type="dxa" w:w="140"/>
            </w:tcMar>
          </w:tcPr>
          <w:p>
            <w:pPr>
              <w:jc w:val="left"/>
            </w:pPr>
            <w:r>
              <w:rPr>
                <w:b w:val="false"/>
                <w:bCs w:val="false"/>
                <w:color w:val="1E293B"/>
                <w:sz w:val="20"/>
                <w:szCs w:val="20"/>
              </w:rPr>
              <w:t xml:space="preserve">SHAP, LIME, Grad-CAM, reliability diagrams</w:t>
            </w:r>
          </w:p>
        </w:tc>
        <w:tc>
          <w:tcPr>
            <w:tcW w:type="dxa" w:w="3600"/>
            <w:tcBorders>
              <w:top w:val="single" w:color="CCCCCC" w:sz="4"/>
              <w:left w:val="single" w:color="CCCCCC" w:sz="4"/>
              <w:bottom w:val="single" w:color="CCCCCC" w:sz="4"/>
              <w:right w:val="single" w:color="CCCCCC" w:sz="4"/>
            </w:tcBorders>
            <w:shd w:fill="F1F5F9" w:color="auto" w:val="clear"/>
            <w:tcMar>
              <w:top w:type="dxa" w:w="100"/>
              <w:left w:type="dxa" w:w="140"/>
              <w:bottom w:type="dxa" w:w="100"/>
              <w:right w:type="dxa" w:w="140"/>
            </w:tcMar>
          </w:tcPr>
          <w:p>
            <w:pPr>
              <w:jc w:val="left"/>
            </w:pPr>
            <w:r>
              <w:rPr>
                <w:b w:val="false"/>
                <w:bCs w:val="false"/>
                <w:color w:val="1E293B"/>
                <w:sz w:val="20"/>
                <w:szCs w:val="20"/>
              </w:rPr>
              <w:t xml:space="preserve">Evidence for human-on-loop operators and legal reviewers — why did the model classify this contact?</w:t>
            </w:r>
          </w:p>
        </w:tc>
      </w:tr>
      <w:tr>
        <w:tc>
          <w:tcPr>
            <w:tcW w:type="dxa" w:w="24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val="false"/>
                <w:bCs w:val="false"/>
                <w:color w:val="1E293B"/>
                <w:sz w:val="20"/>
                <w:szCs w:val="20"/>
              </w:rPr>
              <w:t xml:space="preserve">Safety case authoring</w:t>
            </w:r>
          </w:p>
        </w:tc>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val="false"/>
                <w:bCs w:val="false"/>
                <w:color w:val="1E293B"/>
                <w:sz w:val="20"/>
                <w:szCs w:val="20"/>
              </w:rPr>
              <w:t xml:space="preserve">AdvoCATE, D-Case Editor, LLM-GSN critique agents</w:t>
            </w:r>
          </w:p>
        </w:tc>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val="false"/>
                <w:bCs w:val="false"/>
                <w:color w:val="1E293B"/>
                <w:sz w:val="20"/>
                <w:szCs w:val="20"/>
              </w:rPr>
              <w:t xml:space="preserve">Generate draft GSN patterns, flag unsupported claims, keep requirement-to-evidence traceability matrix live.</w:t>
            </w:r>
          </w:p>
        </w:tc>
      </w:tr>
      <w:tr>
        <w:tc>
          <w:tcPr>
            <w:tcW w:type="dxa" w:w="2400"/>
            <w:tcBorders>
              <w:top w:val="single" w:color="CCCCCC" w:sz="4"/>
              <w:left w:val="single" w:color="CCCCCC" w:sz="4"/>
              <w:bottom w:val="single" w:color="CCCCCC" w:sz="4"/>
              <w:right w:val="single" w:color="CCCCCC" w:sz="4"/>
            </w:tcBorders>
            <w:shd w:fill="F1F5F9" w:color="auto" w:val="clear"/>
            <w:tcMar>
              <w:top w:type="dxa" w:w="100"/>
              <w:left w:type="dxa" w:w="140"/>
              <w:bottom w:type="dxa" w:w="100"/>
              <w:right w:type="dxa" w:w="140"/>
            </w:tcMar>
          </w:tcPr>
          <w:p>
            <w:pPr>
              <w:jc w:val="left"/>
            </w:pPr>
            <w:r>
              <w:rPr>
                <w:b w:val="false"/>
                <w:bCs w:val="false"/>
                <w:color w:val="1E293B"/>
                <w:sz w:val="20"/>
                <w:szCs w:val="20"/>
              </w:rPr>
              <w:t xml:space="preserve">MLOps &amp; lineage</w:t>
            </w:r>
          </w:p>
        </w:tc>
        <w:tc>
          <w:tcPr>
            <w:tcW w:type="dxa" w:w="3360"/>
            <w:tcBorders>
              <w:top w:val="single" w:color="CCCCCC" w:sz="4"/>
              <w:left w:val="single" w:color="CCCCCC" w:sz="4"/>
              <w:bottom w:val="single" w:color="CCCCCC" w:sz="4"/>
              <w:right w:val="single" w:color="CCCCCC" w:sz="4"/>
            </w:tcBorders>
            <w:shd w:fill="F1F5F9" w:color="auto" w:val="clear"/>
            <w:tcMar>
              <w:top w:type="dxa" w:w="100"/>
              <w:left w:type="dxa" w:w="140"/>
              <w:bottom w:type="dxa" w:w="100"/>
              <w:right w:type="dxa" w:w="140"/>
            </w:tcMar>
          </w:tcPr>
          <w:p>
            <w:pPr>
              <w:jc w:val="left"/>
            </w:pPr>
            <w:r>
              <w:rPr>
                <w:b w:val="false"/>
                <w:bCs w:val="false"/>
                <w:color w:val="1E293B"/>
                <w:sz w:val="20"/>
                <w:szCs w:val="20"/>
              </w:rPr>
              <w:t xml:space="preserve">MLflow, DVC, Kubeflow, Weights &amp; Biases</w:t>
            </w:r>
          </w:p>
        </w:tc>
        <w:tc>
          <w:tcPr>
            <w:tcW w:type="dxa" w:w="3600"/>
            <w:tcBorders>
              <w:top w:val="single" w:color="CCCCCC" w:sz="4"/>
              <w:left w:val="single" w:color="CCCCCC" w:sz="4"/>
              <w:bottom w:val="single" w:color="CCCCCC" w:sz="4"/>
              <w:right w:val="single" w:color="CCCCCC" w:sz="4"/>
            </w:tcBorders>
            <w:shd w:fill="F1F5F9" w:color="auto" w:val="clear"/>
            <w:tcMar>
              <w:top w:type="dxa" w:w="100"/>
              <w:left w:type="dxa" w:w="140"/>
              <w:bottom w:type="dxa" w:w="100"/>
              <w:right w:type="dxa" w:w="140"/>
            </w:tcMar>
          </w:tcPr>
          <w:p>
            <w:pPr>
              <w:jc w:val="left"/>
            </w:pPr>
            <w:r>
              <w:rPr>
                <w:b w:val="false"/>
                <w:bCs w:val="false"/>
                <w:color w:val="1E293B"/>
                <w:sz w:val="20"/>
                <w:szCs w:val="20"/>
              </w:rPr>
              <w:t xml:space="preserve">Versioned models, datasets and pipelines — mandatory for AMLAS 'build reproducibility' claim.</w:t>
            </w:r>
          </w:p>
        </w:tc>
      </w:tr>
    </w:tbl>
    <w:p>
      <w:pPr>
        <w:pStyle w:val="Heading1"/>
        <w:spacing w:after="180" w:before="360"/>
      </w:pPr>
      <w:r>
        <w:rPr>
          <w:b/>
          <w:bCs/>
          <w:color w:val="0B1F3A"/>
          <w:sz w:val="36"/>
          <w:szCs w:val="36"/>
        </w:rPr>
        <w:t xml:space="preserve">7. Enablers needed beyond AI tools</w:t>
      </w:r>
    </w:p>
    <w:p>
      <w:pPr>
        <w:spacing w:after="140" w:line="300"/>
      </w:pPr>
      <w:r>
        <w:rPr>
          <w:color w:val="1E293B"/>
          <w:sz w:val="22"/>
          <w:szCs w:val="22"/>
        </w:rPr>
        <w:t xml:space="preserve">The AI tools are necessary but not sufficient. The following non-AI enablers are what move the pipeline from a Dstl prototype into a programme-level capability that Navy Command can rely on and the MAA / DOSR can accredit.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4260"/>
      </w:tblGrid>
      <w:tr>
        <w:tc>
          <w:tcPr>
            <w:tcW w:type="dxa" w:w="1800"/>
            <w:tcBorders>
              <w:top w:val="single" w:color="CCCCCC" w:sz="4"/>
              <w:left w:val="single" w:color="CCCCCC" w:sz="4"/>
              <w:bottom w:val="single" w:color="CCCCCC" w:sz="4"/>
              <w:right w:val="single" w:color="CCCCCC" w:sz="4"/>
            </w:tcBorders>
            <w:shd w:fill="0B1F3A" w:color="auto" w:val="clear"/>
            <w:tcMar>
              <w:top w:type="dxa" w:w="100"/>
              <w:left w:type="dxa" w:w="140"/>
              <w:bottom w:type="dxa" w:w="100"/>
              <w:right w:type="dxa" w:w="140"/>
            </w:tcMar>
          </w:tcPr>
          <w:p>
            <w:pPr>
              <w:jc w:val="left"/>
            </w:pPr>
            <w:r>
              <w:rPr>
                <w:b/>
                <w:bCs/>
                <w:color w:val="FFFFFF"/>
                <w:sz w:val="20"/>
                <w:szCs w:val="20"/>
              </w:rPr>
              <w:t xml:space="preserve">Category</w:t>
            </w:r>
          </w:p>
        </w:tc>
        <w:tc>
          <w:tcPr>
            <w:tcW w:type="dxa" w:w="3300"/>
            <w:tcBorders>
              <w:top w:val="single" w:color="CCCCCC" w:sz="4"/>
              <w:left w:val="single" w:color="CCCCCC" w:sz="4"/>
              <w:bottom w:val="single" w:color="CCCCCC" w:sz="4"/>
              <w:right w:val="single" w:color="CCCCCC" w:sz="4"/>
            </w:tcBorders>
            <w:shd w:fill="0B1F3A" w:color="auto" w:val="clear"/>
            <w:tcMar>
              <w:top w:type="dxa" w:w="100"/>
              <w:left w:type="dxa" w:w="140"/>
              <w:bottom w:type="dxa" w:w="100"/>
              <w:right w:type="dxa" w:w="140"/>
            </w:tcMar>
          </w:tcPr>
          <w:p>
            <w:pPr>
              <w:jc w:val="left"/>
            </w:pPr>
            <w:r>
              <w:rPr>
                <w:b/>
                <w:bCs/>
                <w:color w:val="FFFFFF"/>
                <w:sz w:val="20"/>
                <w:szCs w:val="20"/>
              </w:rPr>
              <w:t xml:space="preserve">Required enabler</w:t>
            </w:r>
          </w:p>
        </w:tc>
        <w:tc>
          <w:tcPr>
            <w:tcW w:type="dxa" w:w="4260"/>
            <w:tcBorders>
              <w:top w:val="single" w:color="CCCCCC" w:sz="4"/>
              <w:left w:val="single" w:color="CCCCCC" w:sz="4"/>
              <w:bottom w:val="single" w:color="CCCCCC" w:sz="4"/>
              <w:right w:val="single" w:color="CCCCCC" w:sz="4"/>
            </w:tcBorders>
            <w:shd w:fill="0B1F3A" w:color="auto" w:val="clear"/>
            <w:tcMar>
              <w:top w:type="dxa" w:w="100"/>
              <w:left w:type="dxa" w:w="140"/>
              <w:bottom w:type="dxa" w:w="100"/>
              <w:right w:type="dxa" w:w="140"/>
            </w:tcMar>
          </w:tcPr>
          <w:p>
            <w:pPr>
              <w:jc w:val="left"/>
            </w:pPr>
            <w:r>
              <w:rPr>
                <w:b/>
                <w:bCs/>
                <w:color w:val="FFFFFF"/>
                <w:sz w:val="20"/>
                <w:szCs w:val="20"/>
              </w:rPr>
              <w:t xml:space="preserve">Why it matters</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val="false"/>
                <w:bCs w:val="false"/>
                <w:color w:val="1E293B"/>
                <w:sz w:val="20"/>
                <w:szCs w:val="20"/>
              </w:rPr>
              <w:t xml:space="preserve">Infrastructure</w:t>
            </w:r>
          </w:p>
        </w:tc>
        <w:tc>
          <w:tcPr>
            <w:tcW w:type="dxa" w:w="3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val="false"/>
                <w:bCs w:val="false"/>
                <w:color w:val="1E293B"/>
                <w:sz w:val="20"/>
                <w:szCs w:val="20"/>
              </w:rPr>
              <w:t xml:space="preserve">Classified-capable GPU compute (MOD DAIS, AWS TS, Crown Hosting, Dstl HAWC)</w:t>
            </w:r>
          </w:p>
        </w:tc>
        <w:tc>
          <w:tcPr>
            <w:tcW w:type="dxa" w:w="4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val="false"/>
                <w:bCs w:val="false"/>
                <w:color w:val="1E293B"/>
                <w:sz w:val="20"/>
                <w:szCs w:val="20"/>
              </w:rPr>
              <w:t xml:space="preserve">Training and adversarial testing of multi-modal perception models needs large, auditable GPU clusters with appropriate security accreditation.</w:t>
            </w:r>
          </w:p>
        </w:tc>
      </w:tr>
      <w:tr>
        <w:tc>
          <w:tcPr>
            <w:tcW w:type="dxa" w:w="1800"/>
            <w:tcBorders>
              <w:top w:val="single" w:color="CCCCCC" w:sz="4"/>
              <w:left w:val="single" w:color="CCCCCC" w:sz="4"/>
              <w:bottom w:val="single" w:color="CCCCCC" w:sz="4"/>
              <w:right w:val="single" w:color="CCCCCC" w:sz="4"/>
            </w:tcBorders>
            <w:shd w:fill="F1F5F9" w:color="auto" w:val="clear"/>
            <w:tcMar>
              <w:top w:type="dxa" w:w="100"/>
              <w:left w:type="dxa" w:w="140"/>
              <w:bottom w:type="dxa" w:w="100"/>
              <w:right w:type="dxa" w:w="140"/>
            </w:tcMar>
          </w:tcPr>
          <w:p>
            <w:pPr>
              <w:jc w:val="left"/>
            </w:pPr>
            <w:r>
              <w:rPr>
                <w:b w:val="false"/>
                <w:bCs w:val="false"/>
                <w:color w:val="1E293B"/>
                <w:sz w:val="20"/>
                <w:szCs w:val="20"/>
              </w:rPr>
              <w:t xml:space="preserve">Infrastructure</w:t>
            </w:r>
          </w:p>
        </w:tc>
        <w:tc>
          <w:tcPr>
            <w:tcW w:type="dxa" w:w="3300"/>
            <w:tcBorders>
              <w:top w:val="single" w:color="CCCCCC" w:sz="4"/>
              <w:left w:val="single" w:color="CCCCCC" w:sz="4"/>
              <w:bottom w:val="single" w:color="CCCCCC" w:sz="4"/>
              <w:right w:val="single" w:color="CCCCCC" w:sz="4"/>
            </w:tcBorders>
            <w:shd w:fill="F1F5F9" w:color="auto" w:val="clear"/>
            <w:tcMar>
              <w:top w:type="dxa" w:w="100"/>
              <w:left w:type="dxa" w:w="140"/>
              <w:bottom w:type="dxa" w:w="100"/>
              <w:right w:type="dxa" w:w="140"/>
            </w:tcMar>
          </w:tcPr>
          <w:p>
            <w:pPr>
              <w:jc w:val="left"/>
            </w:pPr>
            <w:r>
              <w:rPr>
                <w:b w:val="false"/>
                <w:bCs w:val="false"/>
                <w:color w:val="1E293B"/>
                <w:sz w:val="20"/>
                <w:szCs w:val="20"/>
              </w:rPr>
              <w:t xml:space="preserve">High-fidelity naval test range access (BUTEC, Portland Harbour, Pentland Firth)</w:t>
            </w:r>
          </w:p>
        </w:tc>
        <w:tc>
          <w:tcPr>
            <w:tcW w:type="dxa" w:w="4260"/>
            <w:tcBorders>
              <w:top w:val="single" w:color="CCCCCC" w:sz="4"/>
              <w:left w:val="single" w:color="CCCCCC" w:sz="4"/>
              <w:bottom w:val="single" w:color="CCCCCC" w:sz="4"/>
              <w:right w:val="single" w:color="CCCCCC" w:sz="4"/>
            </w:tcBorders>
            <w:shd w:fill="F1F5F9" w:color="auto" w:val="clear"/>
            <w:tcMar>
              <w:top w:type="dxa" w:w="100"/>
              <w:left w:type="dxa" w:w="140"/>
              <w:bottom w:type="dxa" w:w="100"/>
              <w:right w:type="dxa" w:w="140"/>
            </w:tcMar>
          </w:tcPr>
          <w:p>
            <w:pPr>
              <w:jc w:val="left"/>
            </w:pPr>
            <w:r>
              <w:rPr>
                <w:b w:val="false"/>
                <w:bCs w:val="false"/>
                <w:color w:val="1E293B"/>
                <w:sz w:val="20"/>
                <w:szCs w:val="20"/>
              </w:rPr>
              <w:t xml:space="preserve">Sim-to-real validation gates — no synthetic evidence is accepted alone without matched real-world runs.</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val="false"/>
                <w:bCs w:val="false"/>
                <w:color w:val="1E293B"/>
                <w:sz w:val="20"/>
                <w:szCs w:val="20"/>
              </w:rPr>
              <w:t xml:space="preserve">Data</w:t>
            </w:r>
          </w:p>
        </w:tc>
        <w:tc>
          <w:tcPr>
            <w:tcW w:type="dxa" w:w="3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val="false"/>
                <w:bCs w:val="false"/>
                <w:color w:val="1E293B"/>
                <w:sz w:val="20"/>
                <w:szCs w:val="20"/>
              </w:rPr>
              <w:t xml:space="preserve">Data-sharing agreements for MIT AUVLAB + allied open datasets (AUKUS)</w:t>
            </w:r>
          </w:p>
        </w:tc>
        <w:tc>
          <w:tcPr>
            <w:tcW w:type="dxa" w:w="4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val="false"/>
                <w:bCs w:val="false"/>
                <w:color w:val="1E293B"/>
                <w:sz w:val="20"/>
                <w:szCs w:val="20"/>
              </w:rPr>
              <w:t xml:space="preserve">Open USV sensor data anchors the pre-training and transfer-learning stages before classified MOD data is added.</w:t>
            </w:r>
          </w:p>
        </w:tc>
      </w:tr>
      <w:tr>
        <w:tc>
          <w:tcPr>
            <w:tcW w:type="dxa" w:w="1800"/>
            <w:tcBorders>
              <w:top w:val="single" w:color="CCCCCC" w:sz="4"/>
              <w:left w:val="single" w:color="CCCCCC" w:sz="4"/>
              <w:bottom w:val="single" w:color="CCCCCC" w:sz="4"/>
              <w:right w:val="single" w:color="CCCCCC" w:sz="4"/>
            </w:tcBorders>
            <w:shd w:fill="F1F5F9" w:color="auto" w:val="clear"/>
            <w:tcMar>
              <w:top w:type="dxa" w:w="100"/>
              <w:left w:type="dxa" w:w="140"/>
              <w:bottom w:type="dxa" w:w="100"/>
              <w:right w:type="dxa" w:w="140"/>
            </w:tcMar>
          </w:tcPr>
          <w:p>
            <w:pPr>
              <w:jc w:val="left"/>
            </w:pPr>
            <w:r>
              <w:rPr>
                <w:b w:val="false"/>
                <w:bCs w:val="false"/>
                <w:color w:val="1E293B"/>
                <w:sz w:val="20"/>
                <w:szCs w:val="20"/>
              </w:rPr>
              <w:t xml:space="preserve">Data</w:t>
            </w:r>
          </w:p>
        </w:tc>
        <w:tc>
          <w:tcPr>
            <w:tcW w:type="dxa" w:w="3300"/>
            <w:tcBorders>
              <w:top w:val="single" w:color="CCCCCC" w:sz="4"/>
              <w:left w:val="single" w:color="CCCCCC" w:sz="4"/>
              <w:bottom w:val="single" w:color="CCCCCC" w:sz="4"/>
              <w:right w:val="single" w:color="CCCCCC" w:sz="4"/>
            </w:tcBorders>
            <w:shd w:fill="F1F5F9" w:color="auto" w:val="clear"/>
            <w:tcMar>
              <w:top w:type="dxa" w:w="100"/>
              <w:left w:type="dxa" w:w="140"/>
              <w:bottom w:type="dxa" w:w="100"/>
              <w:right w:type="dxa" w:w="140"/>
            </w:tcMar>
          </w:tcPr>
          <w:p>
            <w:pPr>
              <w:jc w:val="left"/>
            </w:pPr>
            <w:r>
              <w:rPr>
                <w:b w:val="false"/>
                <w:bCs w:val="false"/>
                <w:color w:val="1E293B"/>
                <w:sz w:val="20"/>
                <w:szCs w:val="20"/>
              </w:rPr>
              <w:t xml:space="preserve">Labelled UK-specific maritime corpora (small craft, fishing vessels, offshore energy assets)</w:t>
            </w:r>
          </w:p>
        </w:tc>
        <w:tc>
          <w:tcPr>
            <w:tcW w:type="dxa" w:w="4260"/>
            <w:tcBorders>
              <w:top w:val="single" w:color="CCCCCC" w:sz="4"/>
              <w:left w:val="single" w:color="CCCCCC" w:sz="4"/>
              <w:bottom w:val="single" w:color="CCCCCC" w:sz="4"/>
              <w:right w:val="single" w:color="CCCCCC" w:sz="4"/>
            </w:tcBorders>
            <w:shd w:fill="F1F5F9" w:color="auto" w:val="clear"/>
            <w:tcMar>
              <w:top w:type="dxa" w:w="100"/>
              <w:left w:type="dxa" w:w="140"/>
              <w:bottom w:type="dxa" w:w="100"/>
              <w:right w:type="dxa" w:w="140"/>
            </w:tcMar>
          </w:tcPr>
          <w:p>
            <w:pPr>
              <w:jc w:val="left"/>
            </w:pPr>
            <w:r>
              <w:rPr>
                <w:b w:val="false"/>
                <w:bCs w:val="false"/>
                <w:color w:val="1E293B"/>
                <w:sz w:val="20"/>
                <w:szCs w:val="20"/>
              </w:rPr>
              <w:t xml:space="preserve">Operational fidelity demands domain-adapted datasets — generic open sets under-represent UK littoral traffic.</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val="false"/>
                <w:bCs w:val="false"/>
                <w:color w:val="1E293B"/>
                <w:sz w:val="20"/>
                <w:szCs w:val="20"/>
              </w:rPr>
              <w:t xml:space="preserve">Data</w:t>
            </w:r>
          </w:p>
        </w:tc>
        <w:tc>
          <w:tcPr>
            <w:tcW w:type="dxa" w:w="3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val="false"/>
                <w:bCs w:val="false"/>
                <w:color w:val="1E293B"/>
                <w:sz w:val="20"/>
                <w:szCs w:val="20"/>
              </w:rPr>
              <w:t xml:space="preserve">Sovereign synthetic-data provenance policy</w:t>
            </w:r>
          </w:p>
        </w:tc>
        <w:tc>
          <w:tcPr>
            <w:tcW w:type="dxa" w:w="4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val="false"/>
                <w:bCs w:val="false"/>
                <w:color w:val="1E293B"/>
                <w:sz w:val="20"/>
                <w:szCs w:val="20"/>
              </w:rPr>
              <w:t xml:space="preserve">AMLAS demands evidence that synthetic data is fit-for-purpose, not poisoning the model. A provenance ledger is mandatory.</w:t>
            </w:r>
          </w:p>
        </w:tc>
      </w:tr>
      <w:tr>
        <w:tc>
          <w:tcPr>
            <w:tcW w:type="dxa" w:w="1800"/>
            <w:tcBorders>
              <w:top w:val="single" w:color="CCCCCC" w:sz="4"/>
              <w:left w:val="single" w:color="CCCCCC" w:sz="4"/>
              <w:bottom w:val="single" w:color="CCCCCC" w:sz="4"/>
              <w:right w:val="single" w:color="CCCCCC" w:sz="4"/>
            </w:tcBorders>
            <w:shd w:fill="F1F5F9" w:color="auto" w:val="clear"/>
            <w:tcMar>
              <w:top w:type="dxa" w:w="100"/>
              <w:left w:type="dxa" w:w="140"/>
              <w:bottom w:type="dxa" w:w="100"/>
              <w:right w:type="dxa" w:w="140"/>
            </w:tcMar>
          </w:tcPr>
          <w:p>
            <w:pPr>
              <w:jc w:val="left"/>
            </w:pPr>
            <w:r>
              <w:rPr>
                <w:b w:val="false"/>
                <w:bCs w:val="false"/>
                <w:color w:val="1E293B"/>
                <w:sz w:val="20"/>
                <w:szCs w:val="20"/>
              </w:rPr>
              <w:t xml:space="preserve">People &amp; skills</w:t>
            </w:r>
          </w:p>
        </w:tc>
        <w:tc>
          <w:tcPr>
            <w:tcW w:type="dxa" w:w="3300"/>
            <w:tcBorders>
              <w:top w:val="single" w:color="CCCCCC" w:sz="4"/>
              <w:left w:val="single" w:color="CCCCCC" w:sz="4"/>
              <w:bottom w:val="single" w:color="CCCCCC" w:sz="4"/>
              <w:right w:val="single" w:color="CCCCCC" w:sz="4"/>
            </w:tcBorders>
            <w:shd w:fill="F1F5F9" w:color="auto" w:val="clear"/>
            <w:tcMar>
              <w:top w:type="dxa" w:w="100"/>
              <w:left w:type="dxa" w:w="140"/>
              <w:bottom w:type="dxa" w:w="100"/>
              <w:right w:type="dxa" w:w="140"/>
            </w:tcMar>
          </w:tcPr>
          <w:p>
            <w:pPr>
              <w:jc w:val="left"/>
            </w:pPr>
            <w:r>
              <w:rPr>
                <w:b w:val="false"/>
                <w:bCs w:val="false"/>
                <w:color w:val="1E293B"/>
                <w:sz w:val="20"/>
                <w:szCs w:val="20"/>
              </w:rPr>
              <w:t xml:space="preserve">AI Test Assurance Cell (Dstl + DAIC + York Centre for Assuring Autonomy)</w:t>
            </w:r>
          </w:p>
        </w:tc>
        <w:tc>
          <w:tcPr>
            <w:tcW w:type="dxa" w:w="4260"/>
            <w:tcBorders>
              <w:top w:val="single" w:color="CCCCCC" w:sz="4"/>
              <w:left w:val="single" w:color="CCCCCC" w:sz="4"/>
              <w:bottom w:val="single" w:color="CCCCCC" w:sz="4"/>
              <w:right w:val="single" w:color="CCCCCC" w:sz="4"/>
            </w:tcBorders>
            <w:shd w:fill="F1F5F9" w:color="auto" w:val="clear"/>
            <w:tcMar>
              <w:top w:type="dxa" w:w="100"/>
              <w:left w:type="dxa" w:w="140"/>
              <w:bottom w:type="dxa" w:w="100"/>
              <w:right w:type="dxa" w:w="140"/>
            </w:tcMar>
          </w:tcPr>
          <w:p>
            <w:pPr>
              <w:jc w:val="left"/>
            </w:pPr>
            <w:r>
              <w:rPr>
                <w:b w:val="false"/>
                <w:bCs w:val="false"/>
                <w:color w:val="1E293B"/>
                <w:sz w:val="20"/>
                <w:szCs w:val="20"/>
              </w:rPr>
              <w:t xml:space="preserve">Pools scarce ML-assurance expertise across programmes; single point of authority for AMLAS/SACE interpretation.</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val="false"/>
                <w:bCs w:val="false"/>
                <w:color w:val="1E293B"/>
                <w:sz w:val="20"/>
                <w:szCs w:val="20"/>
              </w:rPr>
              <w:t xml:space="preserve">People &amp; skills</w:t>
            </w:r>
          </w:p>
        </w:tc>
        <w:tc>
          <w:tcPr>
            <w:tcW w:type="dxa" w:w="3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val="false"/>
                <w:bCs w:val="false"/>
                <w:color w:val="1E293B"/>
                <w:sz w:val="20"/>
                <w:szCs w:val="20"/>
              </w:rPr>
              <w:t xml:space="preserve">Safety engineers trained in ML assurance (AMLAS + GSN + SACE)</w:t>
            </w:r>
          </w:p>
        </w:tc>
        <w:tc>
          <w:tcPr>
            <w:tcW w:type="dxa" w:w="4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val="false"/>
                <w:bCs w:val="false"/>
                <w:color w:val="1E293B"/>
                <w:sz w:val="20"/>
                <w:szCs w:val="20"/>
              </w:rPr>
              <w:t xml:space="preserve">Traditional IV&amp;V engineers need ML-assurance uplift — classic coverage metrics do not apply.</w:t>
            </w:r>
          </w:p>
        </w:tc>
      </w:tr>
      <w:tr>
        <w:tc>
          <w:tcPr>
            <w:tcW w:type="dxa" w:w="1800"/>
            <w:tcBorders>
              <w:top w:val="single" w:color="CCCCCC" w:sz="4"/>
              <w:left w:val="single" w:color="CCCCCC" w:sz="4"/>
              <w:bottom w:val="single" w:color="CCCCCC" w:sz="4"/>
              <w:right w:val="single" w:color="CCCCCC" w:sz="4"/>
            </w:tcBorders>
            <w:shd w:fill="F1F5F9" w:color="auto" w:val="clear"/>
            <w:tcMar>
              <w:top w:type="dxa" w:w="100"/>
              <w:left w:type="dxa" w:w="140"/>
              <w:bottom w:type="dxa" w:w="100"/>
              <w:right w:type="dxa" w:w="140"/>
            </w:tcMar>
          </w:tcPr>
          <w:p>
            <w:pPr>
              <w:jc w:val="left"/>
            </w:pPr>
            <w:r>
              <w:rPr>
                <w:b w:val="false"/>
                <w:bCs w:val="false"/>
                <w:color w:val="1E293B"/>
                <w:sz w:val="20"/>
                <w:szCs w:val="20"/>
              </w:rPr>
              <w:t xml:space="preserve">Governance</w:t>
            </w:r>
          </w:p>
        </w:tc>
        <w:tc>
          <w:tcPr>
            <w:tcW w:type="dxa" w:w="3300"/>
            <w:tcBorders>
              <w:top w:val="single" w:color="CCCCCC" w:sz="4"/>
              <w:left w:val="single" w:color="CCCCCC" w:sz="4"/>
              <w:bottom w:val="single" w:color="CCCCCC" w:sz="4"/>
              <w:right w:val="single" w:color="CCCCCC" w:sz="4"/>
            </w:tcBorders>
            <w:shd w:fill="F1F5F9" w:color="auto" w:val="clear"/>
            <w:tcMar>
              <w:top w:type="dxa" w:w="100"/>
              <w:left w:type="dxa" w:w="140"/>
              <w:bottom w:type="dxa" w:w="100"/>
              <w:right w:type="dxa" w:w="140"/>
            </w:tcMar>
          </w:tcPr>
          <w:p>
            <w:pPr>
              <w:jc w:val="left"/>
            </w:pPr>
            <w:r>
              <w:rPr>
                <w:b w:val="false"/>
                <w:bCs w:val="false"/>
                <w:color w:val="1E293B"/>
                <w:sz w:val="20"/>
                <w:szCs w:val="20"/>
              </w:rPr>
              <w:t xml:space="preserve">Alignment with JSP 520, JSP 936, DEFSTAN 00-056, RA 1600 and the UK Defence AI Playbook</w:t>
            </w:r>
          </w:p>
        </w:tc>
        <w:tc>
          <w:tcPr>
            <w:tcW w:type="dxa" w:w="4260"/>
            <w:tcBorders>
              <w:top w:val="single" w:color="CCCCCC" w:sz="4"/>
              <w:left w:val="single" w:color="CCCCCC" w:sz="4"/>
              <w:bottom w:val="single" w:color="CCCCCC" w:sz="4"/>
              <w:right w:val="single" w:color="CCCCCC" w:sz="4"/>
            </w:tcBorders>
            <w:shd w:fill="F1F5F9" w:color="auto" w:val="clear"/>
            <w:tcMar>
              <w:top w:type="dxa" w:w="100"/>
              <w:left w:type="dxa" w:w="140"/>
              <w:bottom w:type="dxa" w:w="100"/>
              <w:right w:type="dxa" w:w="140"/>
            </w:tcMar>
          </w:tcPr>
          <w:p>
            <w:pPr>
              <w:jc w:val="left"/>
            </w:pPr>
            <w:r>
              <w:rPr>
                <w:b w:val="false"/>
                <w:bCs w:val="false"/>
                <w:color w:val="1E293B"/>
                <w:sz w:val="20"/>
                <w:szCs w:val="20"/>
              </w:rPr>
              <w:t xml:space="preserve">All AI evidence must slot into existing release gates — otherwise the platform can't be fielded.</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val="false"/>
                <w:bCs w:val="false"/>
                <w:color w:val="1E293B"/>
                <w:sz w:val="20"/>
                <w:szCs w:val="20"/>
              </w:rPr>
              <w:t xml:space="preserve">Governance</w:t>
            </w:r>
          </w:p>
        </w:tc>
        <w:tc>
          <w:tcPr>
            <w:tcW w:type="dxa" w:w="3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val="false"/>
                <w:bCs w:val="false"/>
                <w:color w:val="1E293B"/>
                <w:sz w:val="20"/>
                <w:szCs w:val="20"/>
              </w:rPr>
              <w:t xml:space="preserve">Article 36 legal review pathway for autonomy-related decisions</w:t>
            </w:r>
          </w:p>
        </w:tc>
        <w:tc>
          <w:tcPr>
            <w:tcW w:type="dxa" w:w="4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val="false"/>
                <w:bCs w:val="false"/>
                <w:color w:val="1E293B"/>
                <w:sz w:val="20"/>
                <w:szCs w:val="20"/>
              </w:rPr>
              <w:t xml:space="preserve">Collision-avoidance logic with 'use-of-force' proximity requires international-humanitarian-law review.</w:t>
            </w:r>
          </w:p>
        </w:tc>
      </w:tr>
      <w:tr>
        <w:tc>
          <w:tcPr>
            <w:tcW w:type="dxa" w:w="1800"/>
            <w:tcBorders>
              <w:top w:val="single" w:color="CCCCCC" w:sz="4"/>
              <w:left w:val="single" w:color="CCCCCC" w:sz="4"/>
              <w:bottom w:val="single" w:color="CCCCCC" w:sz="4"/>
              <w:right w:val="single" w:color="CCCCCC" w:sz="4"/>
            </w:tcBorders>
            <w:shd w:fill="F1F5F9" w:color="auto" w:val="clear"/>
            <w:tcMar>
              <w:top w:type="dxa" w:w="100"/>
              <w:left w:type="dxa" w:w="140"/>
              <w:bottom w:type="dxa" w:w="100"/>
              <w:right w:type="dxa" w:w="140"/>
            </w:tcMar>
          </w:tcPr>
          <w:p>
            <w:pPr>
              <w:jc w:val="left"/>
            </w:pPr>
            <w:r>
              <w:rPr>
                <w:b w:val="false"/>
                <w:bCs w:val="false"/>
                <w:color w:val="1E293B"/>
                <w:sz w:val="20"/>
                <w:szCs w:val="20"/>
              </w:rPr>
              <w:t xml:space="preserve">Governance</w:t>
            </w:r>
          </w:p>
        </w:tc>
        <w:tc>
          <w:tcPr>
            <w:tcW w:type="dxa" w:w="3300"/>
            <w:tcBorders>
              <w:top w:val="single" w:color="CCCCCC" w:sz="4"/>
              <w:left w:val="single" w:color="CCCCCC" w:sz="4"/>
              <w:bottom w:val="single" w:color="CCCCCC" w:sz="4"/>
              <w:right w:val="single" w:color="CCCCCC" w:sz="4"/>
            </w:tcBorders>
            <w:shd w:fill="F1F5F9" w:color="auto" w:val="clear"/>
            <w:tcMar>
              <w:top w:type="dxa" w:w="100"/>
              <w:left w:type="dxa" w:w="140"/>
              <w:bottom w:type="dxa" w:w="100"/>
              <w:right w:type="dxa" w:w="140"/>
            </w:tcMar>
          </w:tcPr>
          <w:p>
            <w:pPr>
              <w:jc w:val="left"/>
            </w:pPr>
            <w:r>
              <w:rPr>
                <w:b w:val="false"/>
                <w:bCs w:val="false"/>
                <w:color w:val="1E293B"/>
                <w:sz w:val="20"/>
                <w:szCs w:val="20"/>
              </w:rPr>
              <w:t xml:space="preserve">RAISO / DAU sign-off and Dependable AI in Defence (JSP 936 Part 1) compliance</w:t>
            </w:r>
          </w:p>
        </w:tc>
        <w:tc>
          <w:tcPr>
            <w:tcW w:type="dxa" w:w="4260"/>
            <w:tcBorders>
              <w:top w:val="single" w:color="CCCCCC" w:sz="4"/>
              <w:left w:val="single" w:color="CCCCCC" w:sz="4"/>
              <w:bottom w:val="single" w:color="CCCCCC" w:sz="4"/>
              <w:right w:val="single" w:color="CCCCCC" w:sz="4"/>
            </w:tcBorders>
            <w:shd w:fill="F1F5F9" w:color="auto" w:val="clear"/>
            <w:tcMar>
              <w:top w:type="dxa" w:w="100"/>
              <w:left w:type="dxa" w:w="140"/>
              <w:bottom w:type="dxa" w:w="100"/>
              <w:right w:type="dxa" w:w="140"/>
            </w:tcMar>
          </w:tcPr>
          <w:p>
            <w:pPr>
              <w:jc w:val="left"/>
            </w:pPr>
            <w:r>
              <w:rPr>
                <w:b w:val="false"/>
                <w:bCs w:val="false"/>
                <w:color w:val="1E293B"/>
                <w:sz w:val="20"/>
                <w:szCs w:val="20"/>
              </w:rPr>
              <w:t xml:space="preserve">Mandatory ethical-risk consultation before any AI perception model is deployed on a Royal Navy platform.</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val="false"/>
                <w:bCs w:val="false"/>
                <w:color w:val="1E293B"/>
                <w:sz w:val="20"/>
                <w:szCs w:val="20"/>
              </w:rPr>
              <w:t xml:space="preserve">Process</w:t>
            </w:r>
          </w:p>
        </w:tc>
        <w:tc>
          <w:tcPr>
            <w:tcW w:type="dxa" w:w="3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val="false"/>
                <w:bCs w:val="false"/>
                <w:color w:val="1E293B"/>
                <w:sz w:val="20"/>
                <w:szCs w:val="20"/>
              </w:rPr>
              <w:t xml:space="preserve">CI/CD for ML with AMLAS artefact pipeline</w:t>
            </w:r>
          </w:p>
        </w:tc>
        <w:tc>
          <w:tcPr>
            <w:tcW w:type="dxa" w:w="4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val="false"/>
                <w:bCs w:val="false"/>
                <w:color w:val="1E293B"/>
                <w:sz w:val="20"/>
                <w:szCs w:val="20"/>
              </w:rPr>
              <w:t xml:space="preserve">Every model build emits GSN drafts, drift-baseline snapshots, adversarial-robustness bounds, and an evidence bundle hash.</w:t>
            </w:r>
          </w:p>
        </w:tc>
      </w:tr>
      <w:tr>
        <w:tc>
          <w:tcPr>
            <w:tcW w:type="dxa" w:w="1800"/>
            <w:tcBorders>
              <w:top w:val="single" w:color="CCCCCC" w:sz="4"/>
              <w:left w:val="single" w:color="CCCCCC" w:sz="4"/>
              <w:bottom w:val="single" w:color="CCCCCC" w:sz="4"/>
              <w:right w:val="single" w:color="CCCCCC" w:sz="4"/>
            </w:tcBorders>
            <w:shd w:fill="F1F5F9" w:color="auto" w:val="clear"/>
            <w:tcMar>
              <w:top w:type="dxa" w:w="100"/>
              <w:left w:type="dxa" w:w="140"/>
              <w:bottom w:type="dxa" w:w="100"/>
              <w:right w:type="dxa" w:w="140"/>
            </w:tcMar>
          </w:tcPr>
          <w:p>
            <w:pPr>
              <w:jc w:val="left"/>
            </w:pPr>
            <w:r>
              <w:rPr>
                <w:b w:val="false"/>
                <w:bCs w:val="false"/>
                <w:color w:val="1E293B"/>
                <w:sz w:val="20"/>
                <w:szCs w:val="20"/>
              </w:rPr>
              <w:t xml:space="preserve">Process</w:t>
            </w:r>
          </w:p>
        </w:tc>
        <w:tc>
          <w:tcPr>
            <w:tcW w:type="dxa" w:w="3300"/>
            <w:tcBorders>
              <w:top w:val="single" w:color="CCCCCC" w:sz="4"/>
              <w:left w:val="single" w:color="CCCCCC" w:sz="4"/>
              <w:bottom w:val="single" w:color="CCCCCC" w:sz="4"/>
              <w:right w:val="single" w:color="CCCCCC" w:sz="4"/>
            </w:tcBorders>
            <w:shd w:fill="F1F5F9" w:color="auto" w:val="clear"/>
            <w:tcMar>
              <w:top w:type="dxa" w:w="100"/>
              <w:left w:type="dxa" w:w="140"/>
              <w:bottom w:type="dxa" w:w="100"/>
              <w:right w:type="dxa" w:w="140"/>
            </w:tcMar>
          </w:tcPr>
          <w:p>
            <w:pPr>
              <w:jc w:val="left"/>
            </w:pPr>
            <w:r>
              <w:rPr>
                <w:b w:val="false"/>
                <w:bCs w:val="false"/>
                <w:color w:val="1E293B"/>
                <w:sz w:val="20"/>
                <w:szCs w:val="20"/>
              </w:rPr>
              <w:t xml:space="preserve">Human-on-the-loop operating concept with defined escalation</w:t>
            </w:r>
          </w:p>
        </w:tc>
        <w:tc>
          <w:tcPr>
            <w:tcW w:type="dxa" w:w="4260"/>
            <w:tcBorders>
              <w:top w:val="single" w:color="CCCCCC" w:sz="4"/>
              <w:left w:val="single" w:color="CCCCCC" w:sz="4"/>
              <w:bottom w:val="single" w:color="CCCCCC" w:sz="4"/>
              <w:right w:val="single" w:color="CCCCCC" w:sz="4"/>
            </w:tcBorders>
            <w:shd w:fill="F1F5F9" w:color="auto" w:val="clear"/>
            <w:tcMar>
              <w:top w:type="dxa" w:w="100"/>
              <w:left w:type="dxa" w:w="140"/>
              <w:bottom w:type="dxa" w:w="100"/>
              <w:right w:type="dxa" w:w="140"/>
            </w:tcMar>
          </w:tcPr>
          <w:p>
            <w:pPr>
              <w:jc w:val="left"/>
            </w:pPr>
            <w:r>
              <w:rPr>
                <w:b w:val="false"/>
                <w:bCs w:val="false"/>
                <w:color w:val="1E293B"/>
                <w:sz w:val="20"/>
                <w:szCs w:val="20"/>
              </w:rPr>
              <w:t xml:space="preserve">Operators must know when the AI-augmented T&amp;E pipeline is flagging risk — not just green dashboards.</w:t>
            </w:r>
          </w:p>
        </w:tc>
      </w:tr>
      <w:tr>
        <w:tc>
          <w:tcPr>
            <w:tcW w:type="dxa" w:w="18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val="false"/>
                <w:bCs w:val="false"/>
                <w:color w:val="1E293B"/>
                <w:sz w:val="20"/>
                <w:szCs w:val="20"/>
              </w:rPr>
              <w:t xml:space="preserve">Partners</w:t>
            </w:r>
          </w:p>
        </w:tc>
        <w:tc>
          <w:tcPr>
            <w:tcW w:type="dxa" w:w="33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val="false"/>
                <w:bCs w:val="false"/>
                <w:color w:val="1E293B"/>
                <w:sz w:val="20"/>
                <w:szCs w:val="20"/>
              </w:rPr>
              <w:t xml:space="preserve">NATO STANAG 4297 / 4439 / 4496 alignment; AUKUS Pillar II autonomy workstrand</w:t>
            </w:r>
          </w:p>
        </w:tc>
        <w:tc>
          <w:tcPr>
            <w:tcW w:type="dxa" w:w="42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val="false"/>
                <w:bCs w:val="false"/>
                <w:color w:val="1E293B"/>
                <w:sz w:val="20"/>
                <w:szCs w:val="20"/>
              </w:rPr>
              <w:t xml:space="preserve">Avoids UK-only evidence stack; enables allied-partner mutual recognition of AI assurance.</w:t>
            </w:r>
          </w:p>
        </w:tc>
      </w:tr>
    </w:tbl>
    <w:p>
      <w:pPr>
        <w:pStyle w:val="Heading1"/>
        <w:spacing w:after="180" w:before="360"/>
      </w:pPr>
      <w:r>
        <w:rPr>
          <w:b/>
          <w:bCs/>
          <w:color w:val="0B1F3A"/>
          <w:sz w:val="36"/>
          <w:szCs w:val="36"/>
        </w:rPr>
        <w:t xml:space="preserve">8. Datasets used in this exercise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gridCol w:w="3960"/>
      </w:tblGrid>
      <w:tr>
        <w:tc>
          <w:tcPr>
            <w:tcW w:type="dxa" w:w="2700"/>
            <w:tcBorders>
              <w:top w:val="single" w:color="CCCCCC" w:sz="4"/>
              <w:left w:val="single" w:color="CCCCCC" w:sz="4"/>
              <w:bottom w:val="single" w:color="CCCCCC" w:sz="4"/>
              <w:right w:val="single" w:color="CCCCCC" w:sz="4"/>
            </w:tcBorders>
            <w:shd w:fill="0B1F3A" w:color="auto" w:val="clear"/>
            <w:tcMar>
              <w:top w:type="dxa" w:w="100"/>
              <w:left w:type="dxa" w:w="140"/>
              <w:bottom w:type="dxa" w:w="100"/>
              <w:right w:type="dxa" w:w="140"/>
            </w:tcMar>
          </w:tcPr>
          <w:p>
            <w:pPr>
              <w:jc w:val="left"/>
            </w:pPr>
            <w:r>
              <w:rPr>
                <w:b/>
                <w:bCs/>
                <w:color w:val="FFFFFF"/>
                <w:sz w:val="20"/>
                <w:szCs w:val="20"/>
              </w:rPr>
              <w:t xml:space="preserve">Dataset</w:t>
            </w:r>
          </w:p>
        </w:tc>
        <w:tc>
          <w:tcPr>
            <w:tcW w:type="dxa" w:w="2700"/>
            <w:tcBorders>
              <w:top w:val="single" w:color="CCCCCC" w:sz="4"/>
              <w:left w:val="single" w:color="CCCCCC" w:sz="4"/>
              <w:bottom w:val="single" w:color="CCCCCC" w:sz="4"/>
              <w:right w:val="single" w:color="CCCCCC" w:sz="4"/>
            </w:tcBorders>
            <w:shd w:fill="0B1F3A" w:color="auto" w:val="clear"/>
            <w:tcMar>
              <w:top w:type="dxa" w:w="100"/>
              <w:left w:type="dxa" w:w="140"/>
              <w:bottom w:type="dxa" w:w="100"/>
              <w:right w:type="dxa" w:w="140"/>
            </w:tcMar>
          </w:tcPr>
          <w:p>
            <w:pPr>
              <w:jc w:val="left"/>
            </w:pPr>
            <w:r>
              <w:rPr>
                <w:b/>
                <w:bCs/>
                <w:color w:val="FFFFFF"/>
                <w:sz w:val="20"/>
                <w:szCs w:val="20"/>
              </w:rPr>
              <w:t xml:space="preserve">Content</w:t>
            </w:r>
          </w:p>
        </w:tc>
        <w:tc>
          <w:tcPr>
            <w:tcW w:type="dxa" w:w="3960"/>
            <w:tcBorders>
              <w:top w:val="single" w:color="CCCCCC" w:sz="4"/>
              <w:left w:val="single" w:color="CCCCCC" w:sz="4"/>
              <w:bottom w:val="single" w:color="CCCCCC" w:sz="4"/>
              <w:right w:val="single" w:color="CCCCCC" w:sz="4"/>
            </w:tcBorders>
            <w:shd w:fill="0B1F3A" w:color="auto" w:val="clear"/>
            <w:tcMar>
              <w:top w:type="dxa" w:w="100"/>
              <w:left w:type="dxa" w:w="140"/>
              <w:bottom w:type="dxa" w:w="100"/>
              <w:right w:type="dxa" w:w="140"/>
            </w:tcMar>
          </w:tcPr>
          <w:p>
            <w:pPr>
              <w:jc w:val="left"/>
            </w:pPr>
            <w:r>
              <w:rPr>
                <w:b/>
                <w:bCs/>
                <w:color w:val="FFFFFF"/>
                <w:sz w:val="20"/>
                <w:szCs w:val="20"/>
              </w:rPr>
              <w:t xml:space="preserve">Role in this T&amp;E activity</w:t>
            </w:r>
          </w:p>
        </w:tc>
      </w:tr>
      <w:tr>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val="false"/>
                <w:bCs w:val="false"/>
                <w:color w:val="1E293B"/>
                <w:sz w:val="20"/>
                <w:szCs w:val="20"/>
              </w:rPr>
              <w:t xml:space="preserve">MIT AUVLAB marine perception set</w:t>
            </w:r>
          </w:p>
        </w:tc>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val="false"/>
                <w:bCs w:val="false"/>
                <w:color w:val="1E293B"/>
                <w:sz w:val="20"/>
                <w:szCs w:val="20"/>
              </w:rPr>
              <w:t xml:space="preserve">Radar, visual &amp; IR cameras, LiDAR from surface vessels</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val="false"/>
                <w:bCs w:val="false"/>
                <w:color w:val="1E293B"/>
                <w:sz w:val="20"/>
                <w:szCs w:val="20"/>
              </w:rPr>
              <w:t xml:space="preserve">Primary open dataset for pre-training the USV perception stack and as a real-world anchor for synthetic data validation</w:t>
            </w:r>
          </w:p>
        </w:tc>
      </w:tr>
      <w:tr>
        <w:tc>
          <w:tcPr>
            <w:tcW w:type="dxa" w:w="2700"/>
            <w:tcBorders>
              <w:top w:val="single" w:color="CCCCCC" w:sz="4"/>
              <w:left w:val="single" w:color="CCCCCC" w:sz="4"/>
              <w:bottom w:val="single" w:color="CCCCCC" w:sz="4"/>
              <w:right w:val="single" w:color="CCCCCC" w:sz="4"/>
            </w:tcBorders>
            <w:shd w:fill="F1F5F9" w:color="auto" w:val="clear"/>
            <w:tcMar>
              <w:top w:type="dxa" w:w="100"/>
              <w:left w:type="dxa" w:w="140"/>
              <w:bottom w:type="dxa" w:w="100"/>
              <w:right w:type="dxa" w:w="140"/>
            </w:tcMar>
          </w:tcPr>
          <w:p>
            <w:pPr>
              <w:jc w:val="left"/>
            </w:pPr>
            <w:r>
              <w:rPr>
                <w:b w:val="false"/>
                <w:bCs w:val="false"/>
                <w:color w:val="1E293B"/>
                <w:sz w:val="20"/>
                <w:szCs w:val="20"/>
              </w:rPr>
              <w:t xml:space="preserve">NVIDIA Alpamayo (ground vehicles)</w:t>
            </w:r>
          </w:p>
        </w:tc>
        <w:tc>
          <w:tcPr>
            <w:tcW w:type="dxa" w:w="2700"/>
            <w:tcBorders>
              <w:top w:val="single" w:color="CCCCCC" w:sz="4"/>
              <w:left w:val="single" w:color="CCCCCC" w:sz="4"/>
              <w:bottom w:val="single" w:color="CCCCCC" w:sz="4"/>
              <w:right w:val="single" w:color="CCCCCC" w:sz="4"/>
            </w:tcBorders>
            <w:shd w:fill="F1F5F9" w:color="auto" w:val="clear"/>
            <w:tcMar>
              <w:top w:type="dxa" w:w="100"/>
              <w:left w:type="dxa" w:w="140"/>
              <w:bottom w:type="dxa" w:w="100"/>
              <w:right w:type="dxa" w:w="140"/>
            </w:tcMar>
          </w:tcPr>
          <w:p>
            <w:pPr>
              <w:jc w:val="left"/>
            </w:pPr>
            <w:r>
              <w:rPr>
                <w:b w:val="false"/>
                <w:bCs w:val="false"/>
                <w:color w:val="1E293B"/>
                <w:sz w:val="20"/>
                <w:szCs w:val="20"/>
              </w:rPr>
              <w:t xml:space="preserve">Camera, LiDAR, radar from ground platforms</w:t>
            </w:r>
          </w:p>
        </w:tc>
        <w:tc>
          <w:tcPr>
            <w:tcW w:type="dxa" w:w="3960"/>
            <w:tcBorders>
              <w:top w:val="single" w:color="CCCCCC" w:sz="4"/>
              <w:left w:val="single" w:color="CCCCCC" w:sz="4"/>
              <w:bottom w:val="single" w:color="CCCCCC" w:sz="4"/>
              <w:right w:val="single" w:color="CCCCCC" w:sz="4"/>
            </w:tcBorders>
            <w:shd w:fill="F1F5F9" w:color="auto" w:val="clear"/>
            <w:tcMar>
              <w:top w:type="dxa" w:w="100"/>
              <w:left w:type="dxa" w:w="140"/>
              <w:bottom w:type="dxa" w:w="100"/>
              <w:right w:type="dxa" w:w="140"/>
            </w:tcMar>
          </w:tcPr>
          <w:p>
            <w:pPr>
              <w:jc w:val="left"/>
            </w:pPr>
            <w:r>
              <w:rPr>
                <w:b w:val="false"/>
                <w:bCs w:val="false"/>
                <w:color w:val="1E293B"/>
                <w:sz w:val="20"/>
                <w:szCs w:val="20"/>
              </w:rPr>
              <w:t xml:space="preserve">Cross-domain transfer-learning source — many perception primitives (object detection, tracking) generalise from ground to surface</w:t>
            </w:r>
          </w:p>
        </w:tc>
      </w:tr>
      <w:tr>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val="false"/>
                <w:bCs w:val="false"/>
                <w:color w:val="1E293B"/>
                <w:sz w:val="20"/>
                <w:szCs w:val="20"/>
              </w:rPr>
              <w:t xml:space="preserve">UK Met Office climate archives</w:t>
            </w:r>
          </w:p>
        </w:tc>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val="false"/>
                <w:bCs w:val="false"/>
                <w:color w:val="1E293B"/>
                <w:sz w:val="20"/>
                <w:szCs w:val="20"/>
              </w:rPr>
              <w:t xml:space="preserve">Historical UK weather, sea-state, visibility data</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val="false"/>
                <w:bCs w:val="false"/>
                <w:color w:val="1E293B"/>
                <w:sz w:val="20"/>
                <w:szCs w:val="20"/>
              </w:rPr>
              <w:t xml:space="preserve">Ground truth for environment / ODD modelling and scenario-generation weighting (UK-realistic rather than global)</w:t>
            </w:r>
          </w:p>
        </w:tc>
      </w:tr>
      <w:tr>
        <w:tc>
          <w:tcPr>
            <w:tcW w:type="dxa" w:w="2700"/>
            <w:tcBorders>
              <w:top w:val="single" w:color="CCCCCC" w:sz="4"/>
              <w:left w:val="single" w:color="CCCCCC" w:sz="4"/>
              <w:bottom w:val="single" w:color="CCCCCC" w:sz="4"/>
              <w:right w:val="single" w:color="CCCCCC" w:sz="4"/>
            </w:tcBorders>
            <w:shd w:fill="F1F5F9" w:color="auto" w:val="clear"/>
            <w:tcMar>
              <w:top w:type="dxa" w:w="100"/>
              <w:left w:type="dxa" w:w="140"/>
              <w:bottom w:type="dxa" w:w="100"/>
              <w:right w:type="dxa" w:w="140"/>
            </w:tcMar>
          </w:tcPr>
          <w:p>
            <w:pPr>
              <w:jc w:val="left"/>
            </w:pPr>
            <w:r>
              <w:rPr>
                <w:b w:val="false"/>
                <w:bCs w:val="false"/>
                <w:color w:val="1E293B"/>
                <w:sz w:val="20"/>
                <w:szCs w:val="20"/>
              </w:rPr>
              <w:t xml:space="preserve">data.gov Wi-Fi &amp; Bluetooth RF recordings (2.4 / 5 GHz)</w:t>
            </w:r>
          </w:p>
        </w:tc>
        <w:tc>
          <w:tcPr>
            <w:tcW w:type="dxa" w:w="2700"/>
            <w:tcBorders>
              <w:top w:val="single" w:color="CCCCCC" w:sz="4"/>
              <w:left w:val="single" w:color="CCCCCC" w:sz="4"/>
              <w:bottom w:val="single" w:color="CCCCCC" w:sz="4"/>
              <w:right w:val="single" w:color="CCCCCC" w:sz="4"/>
            </w:tcBorders>
            <w:shd w:fill="F1F5F9" w:color="auto" w:val="clear"/>
            <w:tcMar>
              <w:top w:type="dxa" w:w="100"/>
              <w:left w:type="dxa" w:w="140"/>
              <w:bottom w:type="dxa" w:w="100"/>
              <w:right w:type="dxa" w:w="140"/>
            </w:tcMar>
          </w:tcPr>
          <w:p>
            <w:pPr>
              <w:jc w:val="left"/>
            </w:pPr>
            <w:r>
              <w:rPr>
                <w:b w:val="false"/>
                <w:bCs w:val="false"/>
                <w:color w:val="1E293B"/>
                <w:sz w:val="20"/>
                <w:szCs w:val="20"/>
              </w:rPr>
              <w:t xml:space="preserve">IQ recordings from low-cost SDRs</w:t>
            </w:r>
          </w:p>
        </w:tc>
        <w:tc>
          <w:tcPr>
            <w:tcW w:type="dxa" w:w="3960"/>
            <w:tcBorders>
              <w:top w:val="single" w:color="CCCCCC" w:sz="4"/>
              <w:left w:val="single" w:color="CCCCCC" w:sz="4"/>
              <w:bottom w:val="single" w:color="CCCCCC" w:sz="4"/>
              <w:right w:val="single" w:color="CCCCCC" w:sz="4"/>
            </w:tcBorders>
            <w:shd w:fill="F1F5F9" w:color="auto" w:val="clear"/>
            <w:tcMar>
              <w:top w:type="dxa" w:w="100"/>
              <w:left w:type="dxa" w:w="140"/>
              <w:bottom w:type="dxa" w:w="100"/>
              <w:right w:type="dxa" w:w="140"/>
            </w:tcMar>
          </w:tcPr>
          <w:p>
            <w:pPr>
              <w:jc w:val="left"/>
            </w:pPr>
            <w:r>
              <w:rPr>
                <w:b w:val="false"/>
                <w:bCs w:val="false"/>
                <w:color w:val="1E293B"/>
                <w:sz w:val="20"/>
                <w:szCs w:val="20"/>
              </w:rPr>
              <w:t xml:space="preserve">Stress-tests the RF / comms subsystem under congested EM environments; input to RF classifier robustness tests</w:t>
            </w:r>
          </w:p>
        </w:tc>
      </w:tr>
      <w:tr>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val="false"/>
                <w:bCs w:val="false"/>
                <w:color w:val="1E293B"/>
                <w:sz w:val="20"/>
                <w:szCs w:val="20"/>
              </w:rPr>
              <w:t xml:space="preserve">data.gov RF interference from industrial machinery</w:t>
            </w:r>
          </w:p>
        </w:tc>
        <w:tc>
          <w:tcPr>
            <w:tcW w:type="dxa" w:w="27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val="false"/>
                <w:bCs w:val="false"/>
                <w:color w:val="1E293B"/>
                <w:sz w:val="20"/>
                <w:szCs w:val="20"/>
              </w:rPr>
              <w:t xml:space="preserve">Broadband RF interference measurements</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b w:val="false"/>
                <w:bCs w:val="false"/>
                <w:color w:val="1E293B"/>
                <w:sz w:val="20"/>
                <w:szCs w:val="20"/>
              </w:rPr>
              <w:t xml:space="preserve">Adversarial / noisy-environment scenarios for radar and comms testing</w:t>
            </w:r>
          </w:p>
        </w:tc>
      </w:tr>
      <w:tr>
        <w:tc>
          <w:tcPr>
            <w:tcW w:type="dxa" w:w="2700"/>
            <w:tcBorders>
              <w:top w:val="single" w:color="CCCCCC" w:sz="4"/>
              <w:left w:val="single" w:color="CCCCCC" w:sz="4"/>
              <w:bottom w:val="single" w:color="CCCCCC" w:sz="4"/>
              <w:right w:val="single" w:color="CCCCCC" w:sz="4"/>
            </w:tcBorders>
            <w:shd w:fill="F1F5F9" w:color="auto" w:val="clear"/>
            <w:tcMar>
              <w:top w:type="dxa" w:w="100"/>
              <w:left w:type="dxa" w:w="140"/>
              <w:bottom w:type="dxa" w:w="100"/>
              <w:right w:type="dxa" w:w="140"/>
            </w:tcMar>
          </w:tcPr>
          <w:p>
            <w:pPr>
              <w:jc w:val="left"/>
            </w:pPr>
            <w:r>
              <w:rPr>
                <w:b w:val="false"/>
                <w:bCs w:val="false"/>
                <w:color w:val="1E293B"/>
                <w:sz w:val="20"/>
                <w:szCs w:val="20"/>
              </w:rPr>
              <w:t xml:space="preserve">Dstl / NavyX sea-trial data (classified)</w:t>
            </w:r>
          </w:p>
        </w:tc>
        <w:tc>
          <w:tcPr>
            <w:tcW w:type="dxa" w:w="2700"/>
            <w:tcBorders>
              <w:top w:val="single" w:color="CCCCCC" w:sz="4"/>
              <w:left w:val="single" w:color="CCCCCC" w:sz="4"/>
              <w:bottom w:val="single" w:color="CCCCCC" w:sz="4"/>
              <w:right w:val="single" w:color="CCCCCC" w:sz="4"/>
            </w:tcBorders>
            <w:shd w:fill="F1F5F9" w:color="auto" w:val="clear"/>
            <w:tcMar>
              <w:top w:type="dxa" w:w="100"/>
              <w:left w:type="dxa" w:w="140"/>
              <w:bottom w:type="dxa" w:w="100"/>
              <w:right w:type="dxa" w:w="140"/>
            </w:tcMar>
          </w:tcPr>
          <w:p>
            <w:pPr>
              <w:jc w:val="left"/>
            </w:pPr>
            <w:r>
              <w:rPr>
                <w:b w:val="false"/>
                <w:bCs w:val="false"/>
                <w:color w:val="1E293B"/>
                <w:sz w:val="20"/>
                <w:szCs w:val="20"/>
              </w:rPr>
              <w:t xml:space="preserve">UK-specific USV sensor streams, platform telemetry</w:t>
            </w:r>
          </w:p>
        </w:tc>
        <w:tc>
          <w:tcPr>
            <w:tcW w:type="dxa" w:w="3960"/>
            <w:tcBorders>
              <w:top w:val="single" w:color="CCCCCC" w:sz="4"/>
              <w:left w:val="single" w:color="CCCCCC" w:sz="4"/>
              <w:bottom w:val="single" w:color="CCCCCC" w:sz="4"/>
              <w:right w:val="single" w:color="CCCCCC" w:sz="4"/>
            </w:tcBorders>
            <w:shd w:fill="F1F5F9" w:color="auto" w:val="clear"/>
            <w:tcMar>
              <w:top w:type="dxa" w:w="100"/>
              <w:left w:type="dxa" w:w="140"/>
              <w:bottom w:type="dxa" w:w="100"/>
              <w:right w:type="dxa" w:w="140"/>
            </w:tcMar>
          </w:tcPr>
          <w:p>
            <w:pPr>
              <w:jc w:val="left"/>
            </w:pPr>
            <w:r>
              <w:rPr>
                <w:b w:val="false"/>
                <w:bCs w:val="false"/>
                <w:color w:val="1E293B"/>
                <w:sz w:val="20"/>
                <w:szCs w:val="20"/>
              </w:rPr>
              <w:t xml:space="preserve">Operational fidelity dataset — final evidence layer that open data and synthetic data must cross-validate against</w:t>
            </w:r>
          </w:p>
        </w:tc>
      </w:tr>
    </w:tbl>
    <w:p>
      <w:pPr>
        <w:spacing w:after="60"/>
      </w:pPr>
      <w:r>
        <w:t xml:space="preserve"/>
      </w:r>
    </w:p>
    <w:p>
      <w:pPr>
        <w:spacing w:after="140" w:line="300"/>
      </w:pPr>
      <w:r>
        <w:rPr>
          <w:color w:val="1E293B"/>
          <w:sz w:val="22"/>
          <w:szCs w:val="22"/>
        </w:rPr>
        <w:t xml:space="preserve">Canonical open-data links referenced:</w:t>
      </w:r>
    </w:p>
    <w:p>
      <w:pPr>
        <w:spacing w:after="60"/>
      </w:pPr>
      <w:hyperlink w:history="1" r:id="rIdomhqmdb71skyls6q7bzbx">
        <w:r>
          <w:rPr>
            <w:rStyle w:val="Hyperlink"/>
            <w:sz w:val="20"/>
            <w:szCs w:val="20"/>
          </w:rPr>
          <w:t xml:space="preserve">MIT Sea Grant — AUVLAB marine perception datasets</w:t>
        </w:r>
      </w:hyperlink>
    </w:p>
    <w:p>
      <w:pPr>
        <w:spacing w:after="60"/>
      </w:pPr>
      <w:hyperlink w:history="1" r:id="rIdra3ooms0636arsnm-z6kn">
        <w:r>
          <w:rPr>
            <w:rStyle w:val="Hyperlink"/>
            <w:sz w:val="20"/>
            <w:szCs w:val="20"/>
          </w:rPr>
          <w:t xml:space="preserve">NVIDIA Alpamayo — ground-vehicle multi-sensor dataset</w:t>
        </w:r>
      </w:hyperlink>
    </w:p>
    <w:p>
      <w:pPr>
        <w:spacing w:after="60"/>
      </w:pPr>
      <w:hyperlink w:history="1" r:id="rIdacphlppmzpfg9y9_d8-r2">
        <w:r>
          <w:rPr>
            <w:rStyle w:val="Hyperlink"/>
            <w:sz w:val="20"/>
            <w:szCs w:val="20"/>
          </w:rPr>
          <w:t xml:space="preserve">UK Met Office climate archives</w:t>
        </w:r>
      </w:hyperlink>
    </w:p>
    <w:p>
      <w:pPr>
        <w:spacing w:after="60"/>
      </w:pPr>
      <w:hyperlink w:history="1" r:id="rIdz3e5noffu0soi6irmtp--">
        <w:r>
          <w:rPr>
            <w:rStyle w:val="Hyperlink"/>
            <w:sz w:val="20"/>
            <w:szCs w:val="20"/>
          </w:rPr>
          <w:t xml:space="preserve">data.gov — Wi-Fi &amp; Bluetooth IQ recordings (2.4 / 5 GHz)</w:t>
        </w:r>
      </w:hyperlink>
    </w:p>
    <w:p>
      <w:pPr>
        <w:spacing w:after="160"/>
      </w:pPr>
      <w:hyperlink w:history="1" r:id="rIdzz0fil3skbfncz2rprkto">
        <w:r>
          <w:rPr>
            <w:rStyle w:val="Hyperlink"/>
            <w:sz w:val="20"/>
            <w:szCs w:val="20"/>
          </w:rPr>
          <w:t xml:space="preserve">data.gov — RF interference from industrial machinery</w:t>
        </w:r>
      </w:hyperlink>
    </w:p>
    <w:p>
      <w:pPr>
        <w:pStyle w:val="Heading1"/>
        <w:spacing w:after="180" w:before="360"/>
      </w:pPr>
      <w:r>
        <w:rPr>
          <w:b/>
          <w:bCs/>
          <w:color w:val="0B1F3A"/>
          <w:sz w:val="36"/>
          <w:szCs w:val="36"/>
        </w:rPr>
        <w:t xml:space="preserve">9. Recommended next steps</w:t>
      </w:r>
    </w:p>
    <w:p>
      <w:pPr>
        <w:pStyle w:val="ListParagraph"/>
        <w:numPr>
          <w:ilvl w:val="0"/>
          <w:numId w:val="2"/>
        </w:numPr>
        <w:spacing w:after="80" w:line="280"/>
      </w:pPr>
      <w:r>
        <w:rPr>
          <w:b/>
          <w:bCs/>
          <w:color w:val="0B1F3A"/>
          <w:sz w:val="22"/>
          <w:szCs w:val="22"/>
        </w:rPr>
        <w:t xml:space="preserve">Pilot (0–6 months). </w:t>
      </w:r>
      <w:r>
        <w:rPr>
          <w:color w:val="1E293B"/>
          <w:sz w:val="22"/>
          <w:szCs w:val="22"/>
        </w:rPr>
        <w:t xml:space="preserve">Stand up a minimum PSRQ pipeline on one USV perception model using AUVLAB + synthetic augmentation; demonstrate an end-to-end evidence bundle.</w:t>
      </w:r>
    </w:p>
    <w:p>
      <w:pPr>
        <w:pStyle w:val="ListParagraph"/>
        <w:numPr>
          <w:ilvl w:val="0"/>
          <w:numId w:val="2"/>
        </w:numPr>
        <w:spacing w:after="80" w:line="280"/>
      </w:pPr>
      <w:r>
        <w:rPr>
          <w:b/>
          <w:bCs/>
          <w:color w:val="0B1F3A"/>
          <w:sz w:val="22"/>
          <w:szCs w:val="22"/>
        </w:rPr>
        <w:t xml:space="preserve">Tooling consolidation (6–12 months). </w:t>
      </w:r>
      <w:r>
        <w:rPr>
          <w:color w:val="1E293B"/>
          <w:sz w:val="22"/>
          <w:szCs w:val="22"/>
        </w:rPr>
        <w:t xml:space="preserve">Down-select adversarial, drift and GSN-critique tools; agree a common evidence schema with Dstl, DAIC and the York Centre for Assuring Autonomy.</w:t>
      </w:r>
    </w:p>
    <w:p>
      <w:pPr>
        <w:pStyle w:val="ListParagraph"/>
        <w:numPr>
          <w:ilvl w:val="0"/>
          <w:numId w:val="2"/>
        </w:numPr>
        <w:spacing w:after="80" w:line="280"/>
      </w:pPr>
      <w:r>
        <w:rPr>
          <w:b/>
          <w:bCs/>
          <w:color w:val="0B1F3A"/>
          <w:sz w:val="22"/>
          <w:szCs w:val="22"/>
        </w:rPr>
        <w:t xml:space="preserve">Scale (12–24 months). </w:t>
      </w:r>
      <w:r>
        <w:rPr>
          <w:color w:val="1E293B"/>
          <w:sz w:val="22"/>
          <w:szCs w:val="22"/>
        </w:rPr>
        <w:t xml:space="preserve">Extend pipeline to other uncrewed platforms (XLUUV, RWAS); publish a MOD AI-T&amp;E reference architecture; align with AUKUS and a NATO STANAG proposal.</w:t>
      </w:r>
    </w:p>
    <w:p>
      <w:pPr>
        <w:pStyle w:val="ListParagraph"/>
        <w:numPr>
          <w:ilvl w:val="0"/>
          <w:numId w:val="2"/>
        </w:numPr>
        <w:spacing w:after="80" w:line="280"/>
      </w:pPr>
      <w:r>
        <w:rPr>
          <w:b/>
          <w:bCs/>
          <w:color w:val="0B1F3A"/>
          <w:sz w:val="22"/>
          <w:szCs w:val="22"/>
        </w:rPr>
        <w:t xml:space="preserve">Assure the tester-AI. </w:t>
      </w:r>
      <w:r>
        <w:rPr>
          <w:color w:val="1E293B"/>
          <w:sz w:val="22"/>
          <w:szCs w:val="22"/>
        </w:rPr>
        <w:t xml:space="preserve">Treat every AI component inside the testing pipeline as itself a subject of AMLAS / SACE assurance — it cannot be a trusted oracle.</w:t>
      </w:r>
    </w:p>
    <w:p>
      <w:pPr>
        <w:pBdr>
          <w:top w:val="single" w:color="0B1F3A" w:sz="8" w:space="8"/>
        </w:pBdr>
        <w:spacing w:after="120" w:before="320"/>
      </w:pPr>
      <w:r>
        <w:rPr>
          <w:i/>
          <w:iCs/>
          <w:color w:val="475569"/>
          <w:sz w:val="18"/>
          <w:szCs w:val="18"/>
        </w:rPr>
        <w:t xml:space="preserve">Prepared as a research exercise for the UK Defence AI &amp; T&amp;E discussion — April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475569"/>
        <w:sz w:val="18"/>
        <w:szCs w:val="18"/>
      </w:rPr>
      <w:t xml:space="preserve">Research exercise — April 2026</w:t>
    </w:r>
    <w:r>
      <w:rPr>
        <w:color w:val="475569"/>
        <w:sz w:val="18"/>
        <w:szCs w:val="18"/>
      </w:rPr>
      <w:t xml:space="preserve">	Page </w:t>
    </w:r>
    <w:r>
      <w:rPr>
        <w:color w:val="47556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b/>
        <w:bCs/>
        <w:color w:val="0D9488"/>
        <w:spacing w:val="20"/>
        <w:sz w:val="18"/>
        <w:szCs w:val="18"/>
      </w:rPr>
      <w:t xml:space="preserve">UK MOD</w:t>
    </w:r>
    <w:r>
      <w:rPr>
        <w:color w:val="475569"/>
        <w:sz w:val="18"/>
        <w:szCs w:val="18"/>
      </w:rPr>
      <w:t xml:space="preserve">  |  AI-augmented T&amp;E  |  Naval USV Perception</w:t>
    </w:r>
    <w:r>
      <w:rPr>
        <w:b/>
        <w:bCs/>
        <w:color w:val="0D9488"/>
        <w:spacing w:val="20"/>
        <w:sz w:val="18"/>
        <w:szCs w:val="18"/>
      </w:rPr>
      <w:t xml:space="preserve">	UNCLASSIFIED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Georgia" w:cs="Georgia" w:eastAsia="Georgia" w:hAnsi="Georgia"/>
      <w:b/>
      <w:bCs/>
      <w:color w:val="0B1F3A"/>
      <w:sz w:val="36"/>
      <w:szCs w:val="36"/>
    </w:rPr>
  </w:style>
  <w:style w:type="paragraph" w:styleId="Heading2">
    <w:name w:val="Heading 2"/>
    <w:basedOn w:val="Normal"/>
    <w:next w:val="Normal"/>
    <w:qFormat/>
    <w:pPr>
      <w:spacing w:after="120" w:before="280"/>
      <w:outlineLvl w:val="1"/>
    </w:pPr>
    <w:rPr>
      <w:rFonts w:ascii="Georgia" w:cs="Georgia" w:eastAsia="Georgia" w:hAnsi="Georgia"/>
      <w:b/>
      <w:bCs/>
      <w:color w:val="0D9488"/>
      <w:sz w:val="28"/>
      <w:szCs w:val="28"/>
    </w:rPr>
  </w:style>
  <w:style w:type="paragraph" w:styleId="Heading3">
    <w:name w:val="Heading 3"/>
    <w:basedOn w:val="Normal"/>
    <w:next w:val="Normal"/>
    <w:qFormat/>
    <w:pPr>
      <w:spacing w:after="80" w:before="200"/>
      <w:outlineLvl w:val="2"/>
    </w:pPr>
    <w:rPr>
      <w:rFonts w:ascii="Georgia" w:cs="Georgia" w:eastAsia="Georgia" w:hAnsi="Georgia"/>
      <w:b/>
      <w:bCs/>
      <w:color w:val="0B1F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omhqmdb71skyls6q7bzbx" Type="http://schemas.openxmlformats.org/officeDocument/2006/relationships/hyperlink" Target="https://seagrant.mit.edu/auvlab-datasets-marine-perception-1/" TargetMode="External"/><Relationship Id="rIdra3ooms0636arsnm-z6kn" Type="http://schemas.openxmlformats.org/officeDocument/2006/relationships/hyperlink" Target="https://www.nvidia.com/en-gb/solutions/autonomous-vehicles/alpamayo/" TargetMode="External"/><Relationship Id="rIdacphlppmzpfg9y9_d8-r2" Type="http://schemas.openxmlformats.org/officeDocument/2006/relationships/hyperlink" Target="https://www.metoffice.gov.uk/research/climate/maps-and-data/about/archives" TargetMode="External"/><Relationship Id="rIdz3e5noffu0soi6irmtp--" Type="http://schemas.openxmlformats.org/officeDocument/2006/relationships/hyperlink" Target="https://catalog.data.gov/dataset/wi-fi-and-bluetooth-i-q-recordings-in-the-2-4-ghz-and-5-ghz-bands-with-low-cost-software-d" TargetMode="External"/><Relationship Id="rIdzz0fil3skbfncz2rprkto" Type="http://schemas.openxmlformats.org/officeDocument/2006/relationships/hyperlink" Target="https://catalog.data.gov/dataset/radio-frequency-interference-measurements-of-industrial-machinery"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Story — AI-augmented T&amp;E of a Naval USV Perception Stack</dc:title>
  <dc:creator>T&amp;E Research Exercise</dc:creator>
  <dc:description>Naval Drones use case: user story, T&amp;E activity, AI benefits, tools, enablers</dc:description>
  <cp:lastModifiedBy>Un-named</cp:lastModifiedBy>
  <cp:revision>1</cp:revision>
  <dcterms:created xsi:type="dcterms:W3CDTF">2026-04-22T11:21:05.207Z</dcterms:created>
  <dcterms:modified xsi:type="dcterms:W3CDTF">2026-04-22T11:21:05.208Z</dcterms:modified>
</cp:coreProperties>
</file>

<file path=docProps/custom.xml><?xml version="1.0" encoding="utf-8"?>
<Properties xmlns="http://schemas.openxmlformats.org/officeDocument/2006/custom-properties" xmlns:vt="http://schemas.openxmlformats.org/officeDocument/2006/docPropsVTypes"/>
</file>