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MASTER TEST PLAN</w:t>
      </w:r>
    </w:p>
    <w:p>
      <w:pPr>
        <w:spacing w:after="600"/>
        <w:jc w:val="center"/>
      </w:pPr>
      <w:r>
        <w:t xml:space="preserve">CAA/MAA Joint Approval Workbench v1.0</w:t>
      </w:r>
    </w:p>
    <w:p>
      <w:pPr>
        <w:spacing w:after="2400"/>
        <w:jc w:val="center"/>
      </w:pPr>
      <w:r>
        <w:t xml:space="preserve">2026-04-23</w:t>
      </w:r>
    </w:p>
    <w:p>
      <w:pPr>
        <w:pStyle w:val="Heading2"/>
        <w:spacing w:after="120"/>
      </w:pPr>
      <w:r>
        <w:t xml:space="preserve">Document Control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Approval</w:t>
            </w:r>
          </w:p>
        </w:tc>
      </w:tr>
    </w:tbl>
    <w:p>
      <w:pPr>
        <w:spacing w:after="600"/>
      </w:pPr>
    </w:p>
    <w:p>
      <w:pPr>
        <w:pStyle w:val="Heading2"/>
        <w:spacing w:after="120"/>
      </w:pPr>
      <w:r>
        <w:t xml:space="preserve">Approvals</w:t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Sig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MAA Lead Inspector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CAA Innovation 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pStyle w:val="Heading1"/>
        <w:spacing w:after="120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/>
      </w:pPr>
      <w:r>
        <w:t xml:space="preserve">1. Project Identification</w:t>
      </w:r>
    </w:p>
    <w:p>
      <w:pPr>
        <w:spacing w:after="240"/>
      </w:pPr>
      <w:r>
        <w:t xml:space="preserve">CAA/MAA Joint Approval Workbench Test Programme | v1.0 | 40 weeks | 19.1 FTE | 4,094 hours</w:t>
      </w:r>
    </w:p>
    <w:p>
      <w:pPr>
        <w:pStyle w:val="Heading1"/>
        <w:spacing w:after="120"/>
      </w:pPr>
      <w:r>
        <w:t xml:space="preserve">2. Scope &amp; Objectives</w:t>
      </w:r>
    </w:p>
    <w:p>
      <w:pPr>
        <w:spacing w:after="240"/>
      </w:pPr>
      <w:r>
        <w:t xml:space="preserve">Ensure regulatory defensibility, operability, safety through risk-based testing (ISO 29119-3, TMap, AMLAS).</w:t>
      </w:r>
    </w:p>
    <w:p>
      <w:pPr>
        <w:pStyle w:val="Heading1"/>
        <w:spacing w:after="120"/>
      </w:pPr>
      <w:r>
        <w:t xml:space="preserve">3. Test Approach</w:t>
      </w:r>
    </w:p>
    <w:p>
      <w:pPr>
        <w:spacing w:after="240"/>
      </w:pPr>
      <w:r>
        <w:t xml:space="preserve">31 techniques across 8 categories: Specification-based, Experience-based, Model-based, Performance &amp; Load, Security, AI/ML, Accessibility, Regression &amp; Release</w:t>
      </w:r>
    </w:p>
    <w:p>
      <w:pPr>
        <w:spacing w:after="240"/>
      </w:pPr>
      <w:r>
        <w:t xml:space="preserve">Twin-sample regression: Scotland PDRA-01 &lt;30 min approval, SORA swarm &lt;30 min refusal</w:t>
      </w:r>
    </w:p>
    <w:p>
      <w:r>
        <w:br w:type="page"/>
      </w:r>
    </w:p>
    <w:p>
      <w:pPr>
        <w:pStyle w:val="Heading1"/>
        <w:spacing w:after="120"/>
      </w:pPr>
      <w:r>
        <w:t xml:space="preserve">4. Schedule &amp; Milestones</w:t>
      </w:r>
    </w:p>
    <w:p>
      <w:pPr>
        <w:spacing w:after="240"/>
      </w:pPr>
      <w:r>
        <w:t xml:space="preserve">Phase 0 (W1-4): Preparation | Phase 1 (W5-12): Intake | Phase 2 (W13-22): Coverage | Phase 2b (W20-26): UI | Phase 2c (W24-32): Classification | Phase 3 (W27-34): Panel | Phase 3b (W33-40): Decision</w:t>
      </w:r>
    </w:p>
    <w:p>
      <w:pPr>
        <w:spacing w:after="240"/>
      </w:pPr>
      <w:r>
        <w:t xml:space="preserve">Key: W2 strategy approved, W4 smoke ready, W8 artefact detector done, W34 twin-sample done, W40 DDH approval</w:t>
      </w:r>
    </w:p>
    <w:p>
      <w:r>
        <w:br w:type="page"/>
      </w:r>
    </w:p>
    <w:p>
      <w:pPr>
        <w:pStyle w:val="Heading1"/>
        <w:spacing w:after="120"/>
      </w:pPr>
      <w:r>
        <w:t xml:space="preserve">5. Resources (19.1 FTE)</w:t>
      </w:r>
    </w:p>
    <w:p>
      <w:pPr>
        <w:spacing w:after="240"/>
      </w:pPr>
      <w:r>
        <w:t xml:space="preserve">Test Manager (1.0), QA Lead (1.2), Functional Engineers (5.4), Perf Engineer (1.8), Security (1.5), Accessibility (1.2), Automation (2.8), Data Engineer (1.2), SME (1.5), Test Analyst (0.5)</w:t>
      </w:r>
    </w:p>
    <w:p>
      <w:r>
        <w:br w:type="page"/>
      </w:r>
    </w:p>
    <w:p>
      <w:pPr>
        <w:pStyle w:val="Heading1"/>
        <w:spacing w:after="120"/>
      </w:pPr>
      <w:r>
        <w:t xml:space="preserve">6. Entry &amp; Exit Criteria</w:t>
      </w:r>
    </w:p>
    <w:p>
      <w:pPr>
        <w:spacing w:after="240"/>
      </w:pPr>
      <w:r>
        <w:t xml:space="preserve">Exit: Twin-sample &lt;30 min both | 69-scenario &gt;95% | K1–K8 conf ≥9 | Cerf PE 1–8 green | WCAG 2.2 AA clean | DAST zero crit/high | Classification zero leakage | DDH approved</w:t>
      </w:r>
    </w:p>
    <w:p>
      <w:r>
        <w:br w:type="page"/>
      </w:r>
    </w:p>
    <w:p>
      <w:pPr>
        <w:pStyle w:val="Heading1"/>
        <w:spacing w:after="120"/>
      </w:pPr>
      <w:r>
        <w:t xml:space="preserve">7. Risk Management</w:t>
      </w:r>
    </w:p>
    <w:p>
      <w:pPr>
        <w:spacing w:after="240"/>
      </w:pPr>
      <w:r>
        <w:t xml:space="preserve">Coverage Matrix complexity | Classified enclave delay | Rare specialist skills</w:t>
      </w:r>
    </w:p>
    <w:p>
      <w:r>
        <w:br w:type="page"/>
      </w:r>
    </w:p>
    <w:p>
      <w:pPr>
        <w:pStyle w:val="Heading1"/>
        <w:spacing w:after="120"/>
      </w:pPr>
      <w:r>
        <w:t xml:space="preserve">8. Deliverables</w:t>
      </w:r>
    </w:p>
    <w:p>
      <w:pPr>
        <w:spacing w:after="240"/>
      </w:pPr>
      <w:r>
        <w:t xml:space="preserve">Test cases (50–100 per phase), functional/security/perf reports, WCAG audit, coverage matrix, regression suite, acceptance checklist</w:t>
      </w:r>
    </w:p>
    <w:p>
      <w:r>
        <w:br w:type="page"/>
      </w:r>
    </w:p>
    <w:p>
      <w:pPr>
        <w:pStyle w:val="Heading1"/>
        <w:spacing w:after="120"/>
      </w:pPr>
      <w:r>
        <w:t xml:space="preserve">9. Change Control</w:t>
      </w:r>
    </w:p>
    <w:p>
      <w:pPr>
        <w:spacing w:after="240"/>
      </w:pPr>
      <w:r>
        <w:t xml:space="preserve">Minor: TM approves | Major: MAA/CAA/PO review | Release-blocking: MAA Lead Inspector</w:t>
      </w:r>
    </w:p>
    <w:p>
      <w:r>
        <w:br w:type="page"/>
      </w:r>
    </w:p>
    <w:p>
      <w:pPr>
        <w:pStyle w:val="Heading1"/>
        <w:spacing w:after="240"/>
      </w:pPr>
      <w:r>
        <w:t xml:space="preserve">10. Approval Sign-Off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b/>
                <w:bCs/>
              </w:rPr>
            </w:pPr>
            <w:r>
              <w:t xml:space="preserve">Signature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MAA Lead Inspector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CAA Innovation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DDH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___/___/___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2026-04-23T14:03:53.418Z</dcterms:created>
  <dcterms:modified xsi:type="dcterms:W3CDTF">2026-04-23T14:03:53.420Z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