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QUALITY AND TEST POLICIES</w:t>
      </w:r>
    </w:p>
    <w:p>
      <w:pPr>
        <w:spacing w:after="2400"/>
        <w:jc w:val="center"/>
      </w:pPr>
      <w:r>
        <w:t xml:space="preserve">CAA/MAA Joint Approval Workbench</w:t>
      </w:r>
    </w:p>
    <w:p>
      <w:pPr>
        <w:pStyle w:val="Heading1"/>
        <w:spacing w:after="120"/>
      </w:pPr>
      <w:r>
        <w:t xml:space="preserve">1. Scope &amp; Purpose</w:t>
      </w:r>
    </w:p>
    <w:p>
      <w:pPr>
        <w:spacing w:after="240"/>
      </w:pPr>
      <w:r>
        <w:t xml:space="preserve">Governs quality assurance, test execution, defect management, release decisions for Workbench v1.0 test programme.</w:t>
      </w:r>
    </w:p>
    <w:p>
      <w:pPr>
        <w:pStyle w:val="Heading1"/>
        <w:spacing w:after="120"/>
      </w:pPr>
      <w:r>
        <w:t xml:space="preserve">2. Quality Policy (11 Clauses)</w:t>
      </w:r>
    </w:p>
    <w:p>
      <w:pPr>
        <w:pStyle w:val="ListParagraph"/>
        <w:numPr>
          <w:ilvl w:val="0"/>
          <w:numId w:val="2"/>
        </w:numPr>
      </w:pPr>
      <w:r>
        <w:t xml:space="preserve">Execute twin-sample regression release blocker (Scotland &lt;30 min approval, SORA &lt;30 min refusal)</w:t>
      </w:r>
    </w:p>
    <w:p>
      <w:pPr>
        <w:pStyle w:val="ListParagraph"/>
        <w:numPr>
          <w:ilvl w:val="0"/>
          <w:numId w:val="2"/>
        </w:numPr>
      </w:pPr>
      <w:r>
        <w:t xml:space="preserve">Validate keystones K1–K8 independently; all must operationalize</w:t>
      </w:r>
    </w:p>
    <w:p>
      <w:pPr>
        <w:pStyle w:val="ListParagraph"/>
        <w:numPr>
          <w:ilvl w:val="0"/>
          <w:numId w:val="2"/>
        </w:numPr>
      </w:pPr>
      <w:r>
        <w:t xml:space="preserve">Apply Class A testing intensity (90% coverage) to 18 critical objects</w:t>
      </w:r>
    </w:p>
    <w:p>
      <w:pPr>
        <w:pStyle w:val="ListParagraph"/>
        <w:numPr>
          <w:ilvl w:val="0"/>
          <w:numId w:val="2"/>
        </w:numPr>
      </w:pPr>
      <w:r>
        <w:t xml:space="preserve">Enforce classification two-person review (tier transition / downgrade)</w:t>
      </w:r>
    </w:p>
    <w:p>
      <w:pPr>
        <w:pStyle w:val="ListParagraph"/>
        <w:numPr>
          <w:ilvl w:val="0"/>
          <w:numId w:val="2"/>
        </w:numPr>
      </w:pPr>
      <w:r>
        <w:t xml:space="preserve">Prohibit self-learning post-release; frozen v1.0 model only</w:t>
      </w:r>
    </w:p>
    <w:p>
      <w:pPr>
        <w:pStyle w:val="ListParagraph"/>
        <w:numPr>
          <w:ilvl w:val="0"/>
          <w:numId w:val="2"/>
        </w:numPr>
      </w:pPr>
      <w:r>
        <w:t xml:space="preserve">Monitor drift continuously (14d pre-release, quarterly post-release)</w:t>
      </w:r>
    </w:p>
    <w:p>
      <w:pPr>
        <w:pStyle w:val="ListParagraph"/>
        <w:numPr>
          <w:ilvl w:val="0"/>
          <w:numId w:val="2"/>
        </w:numPr>
      </w:pPr>
      <w:r>
        <w:t xml:space="preserve">Meet all Cerf PE Gates 1–8</w:t>
      </w:r>
    </w:p>
    <w:p>
      <w:pPr>
        <w:pStyle w:val="ListParagraph"/>
        <w:numPr>
          <w:ilvl w:val="0"/>
          <w:numId w:val="2"/>
        </w:numPr>
      </w:pPr>
      <w:r>
        <w:t xml:space="preserve">Achieve WCAG 2.2 AA compliance</w:t>
      </w:r>
    </w:p>
    <w:p>
      <w:pPr>
        <w:pStyle w:val="ListParagraph"/>
        <w:numPr>
          <w:ilvl w:val="0"/>
          <w:numId w:val="2"/>
        </w:numPr>
      </w:pPr>
      <w:r>
        <w:t xml:space="preserve">Maintain independent assurance sign-off (MAA-CTS / CAA Innovation Hub)</w:t>
      </w:r>
    </w:p>
    <w:p>
      <w:pPr>
        <w:pStyle w:val="ListParagraph"/>
        <w:numPr>
          <w:ilvl w:val="0"/>
          <w:numId w:val="2"/>
        </w:numPr>
      </w:pPr>
      <w:r>
        <w:t xml:space="preserve">Verify Duty Holder acknowledgement of residual risk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rationale for every override / exception</w:t>
      </w:r>
    </w:p>
    <w:p>
      <w:r>
        <w:br w:type="page"/>
      </w:r>
    </w:p>
    <w:p>
      <w:pPr>
        <w:pStyle w:val="Heading1"/>
        <w:spacing w:after="120"/>
      </w:pPr>
      <w:r>
        <w:t xml:space="preserve">3. Test Policies (P1–P5)</w:t>
      </w:r>
    </w:p>
    <w:p>
      <w:pPr>
        <w:pStyle w:val="Heading2"/>
        <w:spacing w:after="80"/>
      </w:pPr>
      <w:r>
        <w:t xml:space="preserve">P1: Twin-Sample Regression Release Blocker</w:t>
      </w:r>
    </w:p>
    <w:p>
      <w:pPr>
        <w:spacing w:after="120"/>
      </w:pPr>
      <w:r>
        <w:t xml:space="preserve">Scotland + SORA must both &lt;30 min wall-clock. Exceeding budget = release blocked.</w:t>
      </w:r>
    </w:p>
    <w:p>
      <w:pPr>
        <w:pStyle w:val="Heading2"/>
        <w:spacing w:after="80"/>
      </w:pPr>
      <w:r>
        <w:t xml:space="preserve">P2: Keystones K1–K8 Non-Negotiable</w:t>
      </w:r>
    </w:p>
    <w:p>
      <w:pPr>
        <w:spacing w:after="120"/>
      </w:pPr>
      <w:r>
        <w:t xml:space="preserve">All 8 keystones must assess correctly on SORA sample. Confidence ≥80% blind-fold SME agreement. Zero deferrals.</w:t>
      </w:r>
    </w:p>
    <w:p>
      <w:pPr>
        <w:pStyle w:val="Heading2"/>
        <w:spacing w:after="80"/>
      </w:pPr>
      <w:r>
        <w:t xml:space="preserve">P3: Performance Gates Cerf 1–8 All Pass</w:t>
      </w:r>
    </w:p>
    <w:p>
      <w:pPr>
        <w:spacing w:after="120"/>
      </w:pPr>
      <w:r>
        <w:t xml:space="preserve">All 8 gates (unit, workspace, 1h load, stress, 96h soak, 10-yr volume, security, end-to-end) must meet targets at p95. Any failure = release blocked.</w:t>
      </w:r>
    </w:p>
    <w:p>
      <w:pPr>
        <w:pStyle w:val="Heading2"/>
        <w:spacing w:after="80"/>
      </w:pPr>
      <w:r>
        <w:t xml:space="preserve">P4: Classification Boundary + Two-Person Review</w:t>
      </w:r>
    </w:p>
    <w:p>
      <w:pPr>
        <w:spacing w:after="120"/>
      </w:pPr>
      <w:r>
        <w:t xml:space="preserve">Mixed-tier test case must validate zero leakage. Any downgrade requires independent review + decision-maker approval documented in audit trail.</w:t>
      </w:r>
    </w:p>
    <w:p>
      <w:pPr>
        <w:pStyle w:val="Heading2"/>
        <w:spacing w:after="80"/>
      </w:pPr>
      <w:r>
        <w:t xml:space="preserve">P5: WCAG 2.2 AA Release Blocker</w:t>
      </w:r>
    </w:p>
    <w:p>
      <w:pPr>
        <w:spacing w:after="240"/>
      </w:pPr>
      <w:r>
        <w:t xml:space="preserve">All UI surfaces (workspace, dashboard, case view, decision viewer) must achieve AA compliance. Auto (axe, Lighthouse) + manual (NVDA, JAWS, keyboard) must confirm zero AA violations. AAA deferrals acceptable post-release.</w:t>
      </w:r>
    </w:p>
    <w:p>
      <w:r>
        <w:br w:type="page"/>
      </w:r>
    </w:p>
    <w:p>
      <w:pPr>
        <w:pStyle w:val="Heading1"/>
        <w:spacing w:after="120"/>
      </w:pPr>
      <w:r>
        <w:t xml:space="preserve">4. QAM + QPM Role Definitions</w:t>
      </w:r>
    </w:p>
    <w:p>
      <w:pPr>
        <w:spacing w:after="120"/>
      </w:pPr>
      <w:r>
        <w:t xml:space="preserve">QAM (Quality Assurance Manager): Test oversight, defect lifecycle, quality-gate assessment | Weekly forecast, daily standup</w:t>
      </w:r>
    </w:p>
    <w:p>
      <w:pPr>
        <w:spacing w:after="240"/>
      </w:pPr>
      <w:r>
        <w:t xml:space="preserve">QPM (Quality Process Manager): Strategy, risk register, schedule, improvement | Bi-weekly risk, monthly process</w:t>
      </w:r>
    </w:p>
    <w:p>
      <w:r>
        <w:br w:type="page"/>
      </w:r>
    </w:p>
    <w:p>
      <w:pPr>
        <w:pStyle w:val="Heading1"/>
        <w:spacing w:after="120"/>
      </w:pPr>
      <w:r>
        <w:t xml:space="preserve">5. Decision Rights Matrix (10 Key Decisions)</w:t>
      </w:r>
    </w:p>
    <w:p>
      <w:pPr>
        <w:spacing w:after="240"/>
      </w:pPr>
      <w:r>
        <w:t xml:space="preserve">Twin-sample gate | Keystone confidence | Cerf gate breach | Classification tier | Defect severity | Schedule slip | Risk acceptance | Coverage waiver | Accessibility AA waiver | Drift escalation</w:t>
      </w:r>
    </w:p>
    <w:p>
      <w:r>
        <w:br w:type="page"/>
      </w:r>
    </w:p>
    <w:p>
      <w:pPr>
        <w:pStyle w:val="Heading1"/>
        <w:spacing w:after="120"/>
      </w:pPr>
      <w:r>
        <w:t xml:space="preserve">6. Escalation Paths</w:t>
      </w:r>
    </w:p>
    <w:p>
      <w:pPr>
        <w:pStyle w:val="ListParagraph"/>
        <w:numPr>
          <w:ilvl w:val="0"/>
          <w:numId w:val="2"/>
        </w:numPr>
      </w:pPr>
      <w:r>
        <w:t xml:space="preserve">CRITICAL: QA Lead → Test Manager → Product Owner → MAA Lead Inspector → MAA Regulator</w:t>
      </w:r>
    </w:p>
    <w:p>
      <w:pPr>
        <w:pStyle w:val="ListParagraph"/>
        <w:numPr>
          <w:ilvl w:val="0"/>
          <w:numId w:val="2"/>
        </w:numPr>
      </w:pPr>
      <w:r>
        <w:t xml:space="preserve">HIGH: QA Lead → Test Manager → Product Owner</w:t>
      </w:r>
    </w:p>
    <w:p>
      <w:pPr>
        <w:pStyle w:val="ListParagraph"/>
        <w:numPr>
          <w:ilvl w:val="0"/>
          <w:numId w:val="2"/>
        </w:numPr>
      </w:pPr>
      <w:r>
        <w:t xml:space="preserve">MEDIUM: Test Manager → Product Owner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LOW: Test Engineer closes / post-release log</w:t>
      </w:r>
    </w:p>
    <w:p>
      <w:r>
        <w:br w:type="page"/>
      </w:r>
    </w:p>
    <w:p>
      <w:pPr>
        <w:pStyle w:val="Heading1"/>
        <w:spacing w:after="240"/>
      </w:pPr>
      <w:r>
        <w:t xml:space="preserve">7. Sign-Off Block</w:t>
      </w:r>
    </w:p>
    <w:p>
      <w:pPr>
        <w:spacing w:after="120"/>
      </w:pPr>
      <w:r>
        <w:t xml:space="preserve">This test policy is approved and binding upon: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 Lead Inspector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CAA Innovation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DDH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2026-04-23T14:03:53.645Z</dcterms:created>
  <dcterms:modified xsi:type="dcterms:W3CDTF">2026-04-23T14:03:53.645Z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