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right="-13" w:hanging="0"/>
        <w:jc w:val="center"/>
        <w:rPr>
          <w:rFonts w:ascii="Free Times" w:hAnsi="Free Times"/>
          <w:b/>
          <w:b/>
          <w:bCs/>
          <w:sz w:val="24"/>
          <w:szCs w:val="24"/>
        </w:rPr>
      </w:pPr>
      <w:r>
        <w:rPr>
          <w:rFonts w:eastAsia="Arial" w:cs="Arial" w:ascii="Free Times" w:hAnsi="Free Times"/>
          <w:b/>
          <w:bCs/>
          <w:color w:val="auto"/>
          <w:sz w:val="24"/>
          <w:szCs w:val="24"/>
        </w:rPr>
        <w:t>RESUMO - VÍDEO PROJETO EDUCACIONAL</w:t>
      </w:r>
    </w:p>
    <w:p>
      <w:pPr>
        <w:sectPr>
          <w:type w:val="nextPage"/>
          <w:pgSz w:w="11906" w:h="16838"/>
          <w:pgMar w:left="1440" w:right="1440" w:gutter="0" w:header="0" w:top="1440" w:footer="0" w:bottom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ind w:right="6" w:hanging="0"/>
        <w:jc w:val="center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João Henrique da Silva</w:t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ind w:right="6" w:hanging="0"/>
        <w:jc w:val="center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Julho - 2022</w:t>
      </w:r>
      <w:bookmarkStart w:id="0" w:name="page2"/>
    </w:p>
    <w:p>
      <w:pPr>
        <w:sectPr>
          <w:type w:val="continuous"/>
          <w:pgSz w:w="11906" w:h="16838"/>
          <w:pgMar w:left="1440" w:right="1440" w:gutter="0" w:header="0" w:top="1440" w:footer="0" w:bottom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500" w:leader="none"/>
        </w:tabs>
        <w:spacing w:lineRule="auto" w:line="360" w:before="0" w:after="0"/>
        <w:rPr>
          <w:rFonts w:ascii="Free Times" w:hAnsi="Free Times"/>
          <w:sz w:val="24"/>
          <w:szCs w:val="24"/>
        </w:rPr>
      </w:pPr>
      <w:bookmarkEnd w:id="0"/>
      <w:r>
        <w:rPr>
          <w:rFonts w:eastAsia="Arial" w:cs="Arial" w:ascii="Free Times" w:hAnsi="Free Times"/>
          <w:color w:val="auto"/>
          <w:sz w:val="24"/>
          <w:szCs w:val="24"/>
        </w:rPr>
        <w:t>1</w:t>
        <w:tab/>
      </w:r>
      <w:r>
        <w:rPr>
          <w:rFonts w:eastAsia="Arial" w:cs="Arial" w:ascii="Free Times" w:hAnsi="Free Times"/>
          <w:b/>
          <w:bCs/>
          <w:color w:val="auto"/>
          <w:sz w:val="24"/>
          <w:szCs w:val="24"/>
        </w:rPr>
        <w:t>DOS FORMATOS</w:t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O vídeo acerca do tema produto educacional apresentado por</w:t>
      </w:r>
      <w:r>
        <w:rPr>
          <w:rFonts w:eastAsia="Arial" w:cs="Arial" w:ascii="Free Times" w:hAnsi="Free Times"/>
          <w:color w:val="2905C3"/>
          <w:sz w:val="24"/>
          <w:szCs w:val="24"/>
        </w:rPr>
        <w:t xml:space="preserve"> Batista</w:t>
      </w:r>
      <w:r>
        <w:rPr>
          <w:rFonts w:eastAsia="Arial" w:cs="Arial" w:ascii="Free Times" w:hAnsi="Free Times"/>
          <w:color w:val="auto"/>
          <w:sz w:val="24"/>
          <w:szCs w:val="24"/>
        </w:rPr>
        <w:t xml:space="preserve"> (</w:t>
      </w:r>
      <w:r>
        <w:rPr>
          <w:rFonts w:eastAsia="Arial" w:cs="Arial" w:ascii="Free Times" w:hAnsi="Free Times"/>
          <w:color w:val="2905C3"/>
          <w:sz w:val="24"/>
          <w:szCs w:val="24"/>
        </w:rPr>
        <w:t>2021</w:t>
      </w:r>
      <w:r>
        <w:rPr>
          <w:rFonts w:eastAsia="Arial" w:cs="Arial" w:ascii="Free Times" w:hAnsi="Free Times"/>
          <w:color w:val="auto"/>
          <w:sz w:val="24"/>
          <w:szCs w:val="24"/>
        </w:rPr>
        <w:t>) apresenta uma discussão acerca das características de tais produtos e detalha sua construção e aplicação. A tipificação dos formatos que pode ter um produto educacional é apresentada considerando sua aplicação e o contexto da referida profissão.</w:t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Acerca do formato de protótipo, é destacado que este produto educacional atende melhor os estudos de mestrado profissional feitos nas ciências duras e a contextualização onde este produto é aplicado é destacada. O formato de manual é discutido considerando sua operacionalização dentro do contexto profissional, e é destacado que, dentro do contexto profissional que é o ensino de ciências, este formato de produto educacional é uma forma viável e com aplicação mais dirigida ao docente. A forma do produto educacional que é o software também é apresentada, e sugere-se que sua aplicação enquanto ferramenta pode ser dirigida tanto ao docente quanto ao discente, sendo utilizado tanto para o monitoramento do ensino como para a organização dos conteúdos. É trazido também a relação de tais formas de produtos educacionais com a possibilidade de produção de patentes, situação mais comum nas produções científicas-profissionais das ciências duras.</w:t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O formato de produto educacional que é o treinamento é apresentado, e destaca-se que este possui aplicação em diversas áreas atendidas pelos mestrados profissionais. Na área do ensino de ciências, tal produto se apresenta como uma alternativa viável e geralmente dirigida à preparação dos docentes. O formato de produto que é o material didático se destaca dentro das produções científico-profissionais vinculadas à educação, por sua ampla aplicação e familiaridade dos profissionais com o tema. Sobre esse formato, percebe-se também a utilidade enquanto ferramenta mediadora dos processos de ensino-aprendizagem. Uma outra forma de produto educacional que é a produção e divulgação artística pode ser destacada de vido sua especificidade e capacidade de comunicação, sendo também relevante para as atividade de ensino-aprendizagem devido à capacidade de informar através do apelo estético, trazendo assim referências sem a mediação formal das formas de produção do conhecimento científico formal.</w:t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Outros formatos de produto educacional são apresentados, sendo estes dotados de um campo mais estreito de aplicações. Nesta seara são destacados os formatos de zoneamento e plano diretor, nos quais a aplicação dos produtos da pesquisa científica podem servir na orientação de discussões socioespaciais pertinentes às atividades de gestão pública.</w:t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center"/>
        <w:rPr>
          <w:lang w:val="en-US"/>
        </w:rPr>
      </w:pPr>
      <w:r>
        <w:rPr>
          <w:lang w:val="en-US"/>
        </w:rPr>
        <w:t>2</w:t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A aplicabilidade dos formatos de produto que são o relatório técnico, a divulgação técnica, a prestação de serviços e o desenvolvimento de técnicas e processos é também apresentada, e sua relação com as atividades da gestão privada podem ser inferidas. Visto que a utilidade destes for-matos de conhecimento científico se apresentam em contextos similares ao contexto das formas do protótipo, infere-se que a aplicabilidade deste formato está condicionada à atividades industriais e comerciais,tipicamente privadas, e cujas operações podem ser refinadas usando tais conhecimentos.</w:t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sectPr>
          <w:type w:val="nextPage"/>
          <w:pgSz w:w="11906" w:h="16838"/>
          <w:pgMar w:left="1140" w:right="1106" w:gutter="0" w:header="0" w:top="1059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 w:before="0" w:after="0"/>
        <w:ind w:firstLine="737"/>
        <w:jc w:val="center"/>
        <w:rPr>
          <w:lang w:val="en-US"/>
        </w:rPr>
      </w:pPr>
      <w:r>
        <w:rPr>
          <w:lang w:val="en-US"/>
        </w:rPr>
        <w:t>3</w:t>
      </w:r>
      <w:bookmarkStart w:id="1" w:name="page3"/>
    </w:p>
    <w:p>
      <w:pPr>
        <w:pStyle w:val="Normal"/>
        <w:tabs>
          <w:tab w:val="clear" w:pos="720"/>
          <w:tab w:val="left" w:pos="520" w:leader="none"/>
        </w:tabs>
        <w:spacing w:lineRule="auto" w:line="360" w:before="0" w:after="0"/>
        <w:rPr>
          <w:rFonts w:ascii="Free Times" w:hAnsi="Free Times"/>
          <w:sz w:val="24"/>
          <w:szCs w:val="24"/>
        </w:rPr>
      </w:pPr>
      <w:bookmarkEnd w:id="1"/>
      <w:r>
        <w:rPr>
          <w:rFonts w:eastAsia="Arial" w:cs="Arial" w:ascii="Free Times" w:hAnsi="Free Times"/>
          <w:color w:val="auto"/>
          <w:sz w:val="24"/>
          <w:szCs w:val="24"/>
        </w:rPr>
        <w:t>2</w:t>
        <w:tab/>
      </w:r>
      <w:r>
        <w:rPr>
          <w:rFonts w:eastAsia="Arial" w:cs="Arial" w:ascii="Free Times" w:hAnsi="Free Times"/>
          <w:b/>
          <w:bCs/>
          <w:color w:val="auto"/>
          <w:sz w:val="24"/>
          <w:szCs w:val="24"/>
        </w:rPr>
        <w:t>DOS PROCEDIMENTOS</w:t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ind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Os procedimentos na elaboração dos produtos educacionais são apresentados e as necessidades relacionadas às dimensões do domínio do conteúdo são destacadas. Sugere-se quatro dimensões do domínio dos conteúdos delimitadas primeiramente pelo seu caráter factual, onde é destacada a apropri-ação por parte do mestrando profissional, dos elementos que devem ser apresentados; um segundo desdobramento de tal delimitação é percebido na dimensão conceitual, sendo esta particularmente evidente nas atividades de ensino-aprendizagem atendidas pelo formato de mestrado profissional; a dimensão procedimental é destacada e dessa infere-se que a aplicabilidade deve ser um elemento central nos procedimentos de elaboração do produto educacional; por fim sugere-se que a dimensão atitudinal, centrada na conduta do mestrando profissional, deve ser considerada durante a referida elaboração.</w:t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Tais precauções embasam a necessidade de se transcender o conteudismo operacionalizado nas sequências colocadas pelos livros didáticos. Para tanto sugere-se que o produto educacional considere tais conteúdos, mas não se limite aos mesmos, incorporando outras formas de apresentação embasadas nas teorias de aprendizagem discutidas adiante.</w:t>
      </w:r>
    </w:p>
    <w:p>
      <w:pPr>
        <w:pStyle w:val="Normal"/>
        <w:spacing w:lineRule="auto" w:line="360" w:before="0" w:after="0"/>
        <w:ind w:right="40" w:firstLine="743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Visando reforçar as especificidades de um mestrado profissional, é destacada a importância da produção técnica necessária para se embasar o produto educacional. A paridade de importância dada ao produto educacional, quando comparada à importância dada à dissertação é destacada e a associação deste com as teorias presentes na área do ensino é discutida. O contexto onde é dada tal associação varia conforme as especificidades de cada curso de mestrado profissional e o palestrante toma como referência a seguinte sequência, e ressalta que podem ocorrer diferenças nas etapas apresentadas.</w:t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Iniciando com o ingresso no curso, segue-se para a distribuição dos orientadores entre os aprovados, procedimento que se pauta pelas afinidades entre os projetos e os campos de pesquisa de cada orientador. Segue-se daí as discussões sobre o tema a ser estudado durante o curso, entendimento que embasa o procedimento seguinte, que seleciona qual será o embasamento teórico da dissertação e do produto educacional. Tal discussão acerca do embasamento teórico deve considerar o referencial teórico na área de ensino apropriado para a pesquisa proposta, e daí pode-se inferir quais questões problema e objetivos necessitam ser atendidos pela pesquisa. Conclui-se refinando a sinergia entre os objetivos e problemas ao se detalhar a aplicação dos conhecimentos que foram pesquisados para a elaboração da dissertação e produto educacional.</w:t>
      </w:r>
    </w:p>
    <w:p>
      <w:pPr>
        <w:pStyle w:val="Normal"/>
        <w:spacing w:lineRule="auto" w:line="360" w:before="0" w:after="0"/>
        <w:jc w:val="center"/>
        <w:rPr>
          <w:rFonts w:ascii="Free Times" w:hAnsi="Free Times"/>
          <w:color w:val="auto"/>
          <w:sz w:val="24"/>
          <w:szCs w:val="24"/>
          <w:lang w:val="en-US"/>
        </w:rPr>
      </w:pPr>
      <w:r>
        <w:rPr>
          <w:rFonts w:ascii="Free Times" w:hAnsi="Free Times"/>
          <w:color w:val="auto"/>
          <w:sz w:val="24"/>
          <w:szCs w:val="24"/>
          <w:lang w:val="en-US"/>
        </w:rPr>
        <w:t>4</w:t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O palestrante ressalta a importância de se ler primeiramente o produto, antes de se conhecer a dissertação, afim de se avaliar a qualidade da produção, considerando-se também a perspectiva contida no relato de experiência da implementação proposta.</w:t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737"/>
        <w:jc w:val="both"/>
        <w:rPr>
          <w:rFonts w:ascii="Free Times" w:hAnsi="Free Times"/>
          <w:sz w:val="24"/>
          <w:szCs w:val="24"/>
        </w:rPr>
      </w:pPr>
      <w:r>
        <w:rPr/>
      </w:r>
    </w:p>
    <w:p>
      <w:pPr>
        <w:sectPr>
          <w:type w:val="nextPage"/>
          <w:pgSz w:w="11906" w:h="16838"/>
          <w:pgMar w:left="1140" w:right="1106" w:gutter="0" w:header="0" w:top="1052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 w:before="0" w:after="0"/>
        <w:ind w:right="40" w:firstLine="737"/>
        <w:jc w:val="center"/>
        <w:rPr>
          <w:lang w:val="en-US"/>
        </w:rPr>
      </w:pPr>
      <w:r>
        <w:rPr>
          <w:lang w:val="en-US"/>
        </w:rPr>
        <w:t>5</w:t>
      </w:r>
      <w:bookmarkStart w:id="2" w:name="page4"/>
    </w:p>
    <w:p>
      <w:pPr>
        <w:pStyle w:val="Normal"/>
        <w:tabs>
          <w:tab w:val="clear" w:pos="720"/>
          <w:tab w:val="left" w:pos="540" w:leader="none"/>
        </w:tabs>
        <w:spacing w:lineRule="auto" w:line="360" w:before="0" w:after="0"/>
        <w:ind w:left="20" w:hanging="0"/>
        <w:rPr>
          <w:rFonts w:ascii="Free Times" w:hAnsi="Free Times"/>
          <w:sz w:val="24"/>
          <w:szCs w:val="24"/>
        </w:rPr>
      </w:pPr>
      <w:bookmarkEnd w:id="2"/>
      <w:r>
        <w:rPr>
          <w:rFonts w:eastAsia="Arial" w:cs="Arial" w:ascii="Free Times" w:hAnsi="Free Times"/>
          <w:color w:val="auto"/>
          <w:sz w:val="24"/>
          <w:szCs w:val="24"/>
        </w:rPr>
        <w:t>3</w:t>
        <w:tab/>
      </w:r>
      <w:r>
        <w:rPr>
          <w:rFonts w:eastAsia="Arial" w:cs="Arial" w:ascii="Free Times" w:hAnsi="Free Times"/>
          <w:b/>
          <w:bCs/>
          <w:color w:val="auto"/>
          <w:sz w:val="24"/>
          <w:szCs w:val="24"/>
        </w:rPr>
        <w:t>DA APLICAÇÃO DA TEORIAS</w:t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ind w:left="20"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O imperativo da sinergia entre o planejamento das situações de aprendizagem e os referen-ciais teóricos escolhidos é discutido e daí infere-se a importância de uma seleção adequada de tais referenciais. O palestrante destaca três grupos de teorias da educação, sendo o primeiro grupo dotado de teorias cognitivistas da aprendizagem, dentro do qual se incluem os seguintes autores: Piaget, Vy-gotsky, Ausubel, Bruner e Gardner. Tais autores compartilham discussões acerca do papel da cognição na formação psíquica, fator que, consequentemente, afeta os processos de socialização através da educação. Segue-se classificando outros autores como comportamentalistas, grupo no qual figuram os autores Pavlov, Watson e Skinner. Tal grupo se destaca pelas discussões acerca do papel que os repertórios de comportamentos exercem sobre a formação psicossocial dos indivíduos, fator que afeta outras dimensões da educação. Conclui-se classificando como humanistas os teóricos Maslow, Wallon e Rogers e percebe-se que o viés societal presente em tais teorias psicossociais é capaz de influenciar a produção das dissertações e produtos educacionais.</w:t>
      </w:r>
    </w:p>
    <w:p>
      <w:pPr>
        <w:pStyle w:val="Normal"/>
        <w:spacing w:lineRule="auto" w:line="360" w:before="0" w:after="0"/>
        <w:ind w:left="20" w:right="20"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Partindo de tais entendimentos, destaca-se a sinergia entre tais fundamentações e os possíveis recursos didáticos presentes nos produtos educacionais. Ao se discutir tais sinergias sugere-se que os seguintes recursos podem estar presentes nos produtos educacionais, nomeadamente: atividades práticas, onde o discente ativamente aplica e exercita fragmentos do tema proposto; recursos das tecnologias estudadas, onde a aplicação real de tais fragmentos do tema são vivenciados pelos discentes; elementos de história da ciência, onde o discente toma conhecimento da historicidade presente nos elementos estudados; jogos e gameficação, onde o conteúdo é transformado em um jogo lúdico capaz de comunicar as especificidades do tema abordado, sem usar o formato convencional de aula ou apresentação; Conclui-se destacando como as formas da argumentação científica e das questões sociocientíficas podem conter elementos que contribuem para a aplicação das teorias psicossociais discutidas anteriormente.</w:t>
      </w:r>
    </w:p>
    <w:p>
      <w:pPr>
        <w:pStyle w:val="Normal"/>
        <w:spacing w:lineRule="auto" w:line="360" w:before="0" w:after="0"/>
        <w:ind w:left="20" w:right="40" w:firstLine="737"/>
        <w:jc w:val="both"/>
        <w:rPr>
          <w:rFonts w:ascii="Free Times" w:hAnsi="Free Times"/>
          <w:sz w:val="24"/>
          <w:szCs w:val="24"/>
        </w:rPr>
      </w:pPr>
      <w:r>
        <w:rPr>
          <w:rFonts w:eastAsia="Arial" w:cs="Arial" w:ascii="Free Times" w:hAnsi="Free Times"/>
          <w:color w:val="auto"/>
          <w:sz w:val="24"/>
          <w:szCs w:val="24"/>
        </w:rPr>
        <w:t>Sugere-se também que a implementação do produto educacional e coleta de dados se dê em um momento anterior à qualificação, e que esta contribua para o procedimento de finalização da escrita dos trabalhos.</w:t>
      </w:r>
    </w:p>
    <w:p>
      <w:pPr>
        <w:pStyle w:val="Normal"/>
        <w:spacing w:lineRule="auto" w:line="360" w:before="0" w:after="0"/>
        <w:jc w:val="center"/>
        <w:rPr>
          <w:rFonts w:ascii="Free Times" w:hAnsi="Free Times"/>
          <w:color w:val="auto"/>
          <w:sz w:val="24"/>
          <w:szCs w:val="24"/>
          <w:lang w:val="en-US"/>
        </w:rPr>
      </w:pPr>
      <w:r>
        <w:rPr>
          <w:rFonts w:ascii="Free Times" w:hAnsi="Free Times"/>
          <w:color w:val="auto"/>
          <w:sz w:val="24"/>
          <w:szCs w:val="24"/>
          <w:lang w:val="en-US"/>
        </w:rPr>
        <w:t>6</w:t>
      </w:r>
    </w:p>
    <w:p>
      <w:pPr>
        <w:pStyle w:val="Normal"/>
        <w:spacing w:lineRule="auto" w:line="360" w:before="0" w:after="0"/>
        <w:ind w:right="20" w:hanging="0"/>
        <w:jc w:val="center"/>
        <w:rPr>
          <w:rFonts w:ascii="Free Times" w:hAnsi="Free Times"/>
          <w:b/>
          <w:b/>
          <w:bCs/>
          <w:sz w:val="24"/>
          <w:szCs w:val="24"/>
        </w:rPr>
      </w:pPr>
      <w:r>
        <w:rPr>
          <w:rFonts w:eastAsia="Arial" w:cs="Arial" w:ascii="Free Times" w:hAnsi="Free Times"/>
          <w:b/>
          <w:bCs/>
          <w:color w:val="auto"/>
          <w:sz w:val="24"/>
          <w:szCs w:val="24"/>
        </w:rPr>
        <w:t>REFERÊNCIAS</w:t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Free Times" w:hAnsi="Free Times"/>
          <w:color w:val="auto"/>
          <w:sz w:val="24"/>
          <w:szCs w:val="24"/>
        </w:rPr>
      </w:pPr>
      <w:r>
        <w:rPr>
          <w:rFonts w:ascii="Free Times" w:hAnsi="Free Times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ind w:right="40" w:firstLine="20"/>
        <w:rPr/>
      </w:pPr>
      <w:r>
        <w:rPr>
          <w:rFonts w:eastAsia="Arial" w:cs="Arial" w:ascii="Free Times" w:hAnsi="Free Times"/>
          <w:color w:val="auto"/>
          <w:sz w:val="24"/>
          <w:szCs w:val="24"/>
        </w:rPr>
        <w:t>BATISTA, M. C. Produto Educacional. 2021. Disponível em:</w:t>
      </w:r>
      <w:r>
        <w:rPr>
          <w:rFonts w:eastAsia="Arial" w:cs="Arial" w:ascii="Free Times" w:hAnsi="Free Times"/>
          <w:color w:val="2905C3"/>
          <w:sz w:val="24"/>
          <w:szCs w:val="24"/>
        </w:rPr>
        <w:t xml:space="preserve"> </w:t>
      </w:r>
      <w:hyperlink r:id="rId2">
        <w:r>
          <w:rPr>
            <w:rFonts w:eastAsia="Arial" w:cs="Arial" w:ascii="Free Times" w:hAnsi="Free Times"/>
            <w:color w:val="2905C3"/>
            <w:sz w:val="24"/>
            <w:szCs w:val="24"/>
          </w:rPr>
          <w:t>&lt;https://onedrive.live.com/?authkey=</w:t>
        </w:r>
      </w:hyperlink>
      <w:r>
        <w:rPr>
          <w:rFonts w:eastAsia="Arial" w:cs="Arial" w:ascii="Free Times" w:hAnsi="Free Times"/>
          <w:color w:val="auto"/>
          <w:sz w:val="24"/>
          <w:szCs w:val="24"/>
        </w:rPr>
        <w:t xml:space="preserve"> </w:t>
      </w:r>
      <w:hyperlink r:id="rId3">
        <w:r>
          <w:rPr>
            <w:rFonts w:eastAsia="Arial" w:cs="Arial" w:ascii="Free Times" w:hAnsi="Free Times"/>
            <w:color w:val="2905C3"/>
            <w:sz w:val="24"/>
            <w:szCs w:val="24"/>
          </w:rPr>
          <w:t>%21ANPa1veJ8VNDdYY&amp;cid=C0C563767EE8BBB4&amp;id=C0C563767EE8BBB4%2195539&amp;</w:t>
        </w:r>
      </w:hyperlink>
      <w:r>
        <w:rPr>
          <w:rFonts w:eastAsia="Arial" w:cs="Arial" w:ascii="Free Times" w:hAnsi="Free Times"/>
          <w:color w:val="2905C3"/>
          <w:sz w:val="24"/>
          <w:szCs w:val="24"/>
        </w:rPr>
        <w:t xml:space="preserve"> </w:t>
      </w:r>
      <w:hyperlink r:id="rId4">
        <w:r>
          <w:rPr>
            <w:rFonts w:eastAsia="Arial" w:cs="Arial" w:ascii="Free Times" w:hAnsi="Free Times"/>
            <w:color w:val="2905C3"/>
            <w:sz w:val="24"/>
            <w:szCs w:val="24"/>
          </w:rPr>
          <w:t>parId=C0C563767EE8BBB4%2172933&amp;o=OneUp&gt;</w:t>
        </w:r>
      </w:hyperlink>
      <w:r>
        <w:rPr>
          <w:rFonts w:eastAsia="Arial" w:cs="Arial" w:ascii="Free Times" w:hAnsi="Free Times"/>
          <w:color w:val="000000"/>
          <w:sz w:val="24"/>
          <w:szCs w:val="24"/>
        </w:rPr>
        <w:t>. Acesso em: 18 jul 2022. Citado na página</w:t>
      </w:r>
      <w:r>
        <w:rPr>
          <w:rFonts w:eastAsia="Arial" w:cs="Arial" w:ascii="Free Times" w:hAnsi="Free Times"/>
          <w:color w:val="2905C3"/>
          <w:sz w:val="24"/>
          <w:szCs w:val="24"/>
        </w:rPr>
        <w:t xml:space="preserve"> 2</w:t>
      </w:r>
      <w:r>
        <w:rPr>
          <w:rFonts w:eastAsia="Arial" w:cs="Arial" w:ascii="Free Times" w:hAnsi="Free Times"/>
          <w:color w:val="000000"/>
          <w:sz w:val="24"/>
          <w:szCs w:val="24"/>
        </w:rPr>
        <w:t>.</w:t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rPr>
          <w:rFonts w:ascii="Free Times" w:hAnsi="Free Times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right="40" w:firstLine="20"/>
        <w:jc w:val="center"/>
        <w:rPr>
          <w:lang w:val="en-US"/>
        </w:rPr>
      </w:pPr>
      <w:r>
        <w:rPr>
          <w:rFonts w:eastAsia="Arial" w:cs="Arial" w:ascii="Free Times" w:hAnsi="Free Times"/>
          <w:color w:val="000000"/>
          <w:sz w:val="24"/>
          <w:szCs w:val="24"/>
          <w:lang w:val="en-US"/>
        </w:rPr>
        <w:t>7</w:t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 Time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edrive.live.com/?authkey=!ANPa1veJ8VNDdYY&amp;cid=C0C563767EE8BBB4&amp;id=C0C563767EE8BBB4!95539&amp;parId=C0C563767EE8BBB4!72933&amp;o=OneUp" TargetMode="External"/><Relationship Id="rId3" Type="http://schemas.openxmlformats.org/officeDocument/2006/relationships/hyperlink" Target="https://onedrive.live.com/?authkey=!ANPa1veJ8VNDdYY&amp;cid=C0C563767EE8BBB4&amp;id=C0C563767EE8BBB4!95539&amp;parId=C0C563767EE8BBB4!72933&amp;o=OneUp" TargetMode="External"/><Relationship Id="rId4" Type="http://schemas.openxmlformats.org/officeDocument/2006/relationships/hyperlink" Target="https://onedrive.live.com/?authkey=!ANPa1veJ8VNDdYY&amp;cid=C0C563767EE8BBB4&amp;id=C0C563767EE8BBB4!95539&amp;parId=C0C563767EE8BBB4!72933&amp;o=OneU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LibreOffice/7.3.4.2$Linux_X86_64 LibreOffice_project/30$Build-2</Application>
  <AppVersion>15.0000</AppVersion>
  <Pages>7</Pages>
  <Words>1262</Words>
  <Characters>7570</Characters>
  <CharactersWithSpaces>8805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2022-07-19T00:44:34Z</dcterms:created>
  <dc:creator>Windows User</dc:creator>
  <dc:description/>
  <dc:language>pt-BR</dc:language>
  <cp:lastModifiedBy/>
  <dcterms:modified xsi:type="dcterms:W3CDTF">2022-07-18T20:12:15Z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