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w:t>
      </w:r>
      <w:r>
        <w:t xml:space="preserve"> </w:t>
      </w:r>
      <w:r>
        <w:t xml:space="preserve">Note</w:t>
      </w:r>
      <w:r>
        <w:t xml:space="preserve"> </w:t>
      </w:r>
      <w:r>
        <w:t xml:space="preserve">—</w:t>
      </w:r>
      <w:r>
        <w:t xml:space="preserve"> </w:t>
      </w:r>
      <w:r>
        <w:t xml:space="preserve">Narration/Board</w:t>
      </w:r>
      <w:r>
        <w:t xml:space="preserve"> </w:t>
      </w:r>
      <w:r>
        <w:t xml:space="preserve">Sync</w:t>
      </w:r>
      <w:r>
        <w:t xml:space="preserve"> </w:t>
      </w:r>
      <w:r>
        <w:t xml:space="preserve">and</w:t>
      </w:r>
      <w:r>
        <w:t xml:space="preserve"> </w:t>
      </w:r>
      <w:r>
        <w:t xml:space="preserve">Board</w:t>
      </w:r>
      <w:r>
        <w:t xml:space="preserve"> </w:t>
      </w:r>
      <w:r>
        <w:t xml:space="preserve">Lifecycle</w:t>
      </w:r>
    </w:p>
    <w:p>
      <w:pPr>
        <w:pStyle w:val="Subtitle"/>
      </w:pPr>
      <w:r>
        <w:t xml:space="preserve">My</w:t>
      </w:r>
      <w:r>
        <w:t xml:space="preserve"> </w:t>
      </w:r>
      <w:r>
        <w:t xml:space="preserve">Tutor</w:t>
      </w:r>
      <w:r>
        <w:t xml:space="preserve"> </w:t>
      </w:r>
      <w:r>
        <w:t xml:space="preserve">—</w:t>
      </w:r>
      <w:r>
        <w:t xml:space="preserve"> </w:t>
      </w:r>
      <w:r>
        <w:t xml:space="preserve">decision</w:t>
      </w:r>
      <w:r>
        <w:t xml:space="preserve"> </w:t>
      </w:r>
      <w:r>
        <w:t xml:space="preserve">record</w:t>
      </w:r>
    </w:p>
    <w:p>
      <w:pPr>
        <w:pStyle w:val="Date"/>
      </w:pPr>
      <w:r>
        <w:t xml:space="preserve">August</w:t>
      </w:r>
      <w:r>
        <w:t xml:space="preserve"> </w:t>
      </w:r>
      <w:r>
        <w:t xml:space="preserve">13,</w:t>
      </w:r>
      <w:r>
        <w:t xml:space="preserve"> </w:t>
      </w:r>
      <w:r>
        <w:t xml:space="preserve">2026</w:t>
      </w:r>
    </w:p>
    <w:p>
      <w:pPr>
        <w:pStyle w:val="FirstParagraph"/>
      </w:pPr>
      <w:r>
        <w:rPr>
          <w:bCs/>
          <w:b/>
        </w:rPr>
        <w:t xml:space="preserve">Status of this document.</w:t>
      </w:r>
      <w:r>
        <w:t xml:space="preserve"> </w:t>
      </w:r>
      <w:r>
        <w:t xml:space="preserve">Captures the design decision reached in conversation about (a) the spoken explanation not matching the on-screen diagram, and (b) the board accumulating across problems. No code has been read yet and no code has been changed. This is a decision record, not an implementation plan.</w:t>
      </w:r>
    </w:p>
    <w:p>
      <w:pPr>
        <w:pStyle w:val="BodyText"/>
      </w:pPr>
      <w:r>
        <w:rPr>
          <w:bCs/>
          <w:b/>
        </w:rPr>
        <w:t xml:space="preserve">Destination.</w:t>
      </w:r>
      <w:r>
        <w:t xml:space="preserve"> </w:t>
      </w:r>
      <w:r>
        <w:t xml:space="preserve">This belongs in the My Tutor folder. It was written to the project because the device bridge was unavailable in that session.</w:t>
      </w:r>
    </w:p>
    <w:bookmarkStart w:id="20" w:name="the-two-symptoms"/>
    <w:p>
      <w:pPr>
        <w:pStyle w:val="Heading1"/>
      </w:pPr>
      <w:r>
        <w:t xml:space="preserve">The two symptoms</w:t>
      </w:r>
    </w:p>
    <w:p>
      <w:pPr>
        <w:numPr>
          <w:ilvl w:val="0"/>
          <w:numId w:val="1001"/>
        </w:numPr>
        <w:pStyle w:val="Compact"/>
      </w:pPr>
      <w:r>
        <w:rPr>
          <w:bCs/>
          <w:b/>
        </w:rPr>
        <w:t xml:space="preserve">Words don’t match the picture.</w:t>
      </w:r>
      <w:r>
        <w:t xml:space="preserve"> </w:t>
      </w:r>
      <w:r>
        <w:t xml:space="preserve">The tutor says one thing and the board shows something slightly different. Small divergences are enough to confuse a student. It also reads as though the tutor is guessing or unsure.</w:t>
      </w:r>
    </w:p>
    <w:p>
      <w:pPr>
        <w:numPr>
          <w:ilvl w:val="0"/>
          <w:numId w:val="1001"/>
        </w:numPr>
        <w:pStyle w:val="Compact"/>
      </w:pPr>
      <w:r>
        <w:rPr>
          <w:bCs/>
          <w:b/>
        </w:rPr>
        <w:t xml:space="preserve">The board never clears.</w:t>
      </w:r>
      <w:r>
        <w:t xml:space="preserve"> </w:t>
      </w:r>
      <w:r>
        <w:t xml:space="preserve">Work from previous problems stays up. It becomes hard to tell which material above or below the current text belongs to the current problem.</w:t>
      </w:r>
    </w:p>
    <w:p>
      <w:pPr>
        <w:pStyle w:val="FirstParagraph"/>
      </w:pPr>
      <w:r>
        <w:t xml:space="preserve">A third reported symptom —</w:t>
      </w:r>
      <w:r>
        <w:t xml:space="preserve"> </w:t>
      </w:r>
      <w:r>
        <w:t xml:space="preserve">“</w:t>
      </w:r>
      <w:r>
        <w:t xml:space="preserve">it seems like it’s guessing</w:t>
      </w:r>
      <w:r>
        <w:t xml:space="preserve">”</w:t>
      </w:r>
      <w:r>
        <w:t xml:space="preserve"> </w:t>
      </w:r>
      <w:r>
        <w:t xml:space="preserve">— is most likely not separate. It is what symptom 1 feels like from the student’s seat. When the words and the board disagree, the tutor reads as unsure even when it is factually correct.</w:t>
      </w:r>
    </w:p>
    <w:bookmarkEnd w:id="20"/>
    <w:bookmarkStart w:id="21" w:name="root-cause"/>
    <w:p>
      <w:pPr>
        <w:pStyle w:val="Heading1"/>
      </w:pPr>
      <w:r>
        <w:t xml:space="preserve">Root cause</w:t>
      </w:r>
    </w:p>
    <w:p>
      <w:pPr>
        <w:pStyle w:val="FirstParagraph"/>
      </w:pPr>
      <w:r>
        <w:t xml:space="preserve">Both symptoms trace to the same underlying gap.</w:t>
      </w:r>
    </w:p>
    <w:p>
      <w:pPr>
        <w:pStyle w:val="BodyText"/>
      </w:pPr>
      <w:r>
        <w:rPr>
          <w:bCs/>
          <w:b/>
        </w:rPr>
        <w:t xml:space="preserve">On the mismatch:</w:t>
      </w:r>
      <w:r>
        <w:t xml:space="preserve"> </w:t>
      </w:r>
      <w:r>
        <w:t xml:space="preserve">the existing checks verify that the math is correct and that the words are correct. Both can pass while the lesson is still wrong, because the narration and the visual are produced by two independent acts of generation. Nothing in the system requires them to agree. This is not a correctness problem — it is a source-of-truth problem, and it cannot be closed by adding a third checker that compares the two outputs after the fact. Comparing two guesses is weaker than eliminating the second guess.</w:t>
      </w:r>
    </w:p>
    <w:p>
      <w:pPr>
        <w:pStyle w:val="BodyText"/>
      </w:pPr>
      <w:r>
        <w:rPr>
          <w:bCs/>
          <w:b/>
        </w:rPr>
        <w:t xml:space="preserve">On the board:</w:t>
      </w:r>
      <w:r>
        <w:t xml:space="preserve"> </w:t>
      </w:r>
      <w:r>
        <w:t xml:space="preserve">nothing in the system represents the fact that a problem has</w:t>
      </w:r>
      <w:r>
        <w:t xml:space="preserve"> </w:t>
      </w:r>
      <w:r>
        <w:rPr>
          <w:iCs/>
          <w:i/>
        </w:rPr>
        <w:t xml:space="preserve">ended</w:t>
      </w:r>
      <w:r>
        <w:t xml:space="preserve">. There is no lesson state machine, so the board is a side effect of generation rather than a managed surface with a lifecycle.</w:t>
      </w:r>
    </w:p>
    <w:bookmarkEnd w:id="21"/>
    <w:bookmarkStart w:id="22" w:name="the-fix"/>
    <w:p>
      <w:pPr>
        <w:pStyle w:val="Heading1"/>
      </w:pPr>
      <w:r>
        <w:t xml:space="preserve">The fix</w:t>
      </w:r>
    </w:p>
    <w:p>
      <w:pPr>
        <w:pStyle w:val="FirstParagraph"/>
      </w:pPr>
      <w:r>
        <w:rPr>
          <w:bCs/>
          <w:b/>
        </w:rPr>
        <w:t xml:space="preserve">1. One authored step, two renderings.</w:t>
      </w:r>
      <w:r>
        <w:t xml:space="preserve"> </w:t>
      </w:r>
      <w:r>
        <w:t xml:space="preserve">A single teaching move becomes one structured object — the equation or expression, what is being asserted about it, what should be highlighted, and what the visual should show. The tutor’s speech is generated</w:t>
      </w:r>
      <w:r>
        <w:t xml:space="preserve"> </w:t>
      </w:r>
      <w:r>
        <w:rPr>
          <w:iCs/>
          <w:i/>
        </w:rPr>
        <w:t xml:space="preserve">from</w:t>
      </w:r>
      <w:r>
        <w:t xml:space="preserve"> </w:t>
      </w:r>
      <w:r>
        <w:t xml:space="preserve">that object. The board is drawn</w:t>
      </w:r>
      <w:r>
        <w:t xml:space="preserve"> </w:t>
      </w:r>
      <w:r>
        <w:rPr>
          <w:iCs/>
          <w:i/>
        </w:rPr>
        <w:t xml:space="preserve">from</w:t>
      </w:r>
      <w:r>
        <w:t xml:space="preserve"> </w:t>
      </w:r>
      <w:r>
        <w:t xml:space="preserve">that same object. They cannot disagree, because there is only one thing being said. Mismatch stops being a defect to catch and becomes a state the system cannot represent.</w:t>
      </w:r>
    </w:p>
    <w:p>
      <w:pPr>
        <w:pStyle w:val="BodyText"/>
      </w:pPr>
      <w:r>
        <w:rPr>
          <w:bCs/>
          <w:b/>
        </w:rPr>
        <w:t xml:space="preserve">2. A lesson state machine with an explicit problem lifecycle.</w:t>
      </w:r>
      <w:r>
        <w:t xml:space="preserve"> </w:t>
      </w:r>
      <w:r>
        <w:t xml:space="preserve">Problems get states — opened, being worked, closed. Closing a problem clears the board.</w:t>
      </w:r>
    </w:p>
    <w:p>
      <w:pPr>
        <w:pStyle w:val="BodyText"/>
      </w:pPr>
      <w:r>
        <w:t xml:space="preserve">These two changes are more connected than they appear. Once a lesson turn is a real structured object rather than free-form output,</w:t>
      </w:r>
      <w:r>
        <w:t xml:space="preserve"> </w:t>
      </w:r>
      <w:r>
        <w:t xml:space="preserve">“</w:t>
      </w:r>
      <w:r>
        <w:t xml:space="preserve">this problem is finished</w:t>
      </w:r>
      <w:r>
        <w:t xml:space="preserve">”</w:t>
      </w:r>
      <w:r>
        <w:t xml:space="preserve"> </w:t>
      </w:r>
      <w:r>
        <w:t xml:space="preserve">becomes something the system can represent, and the erase follows almost for free.</w:t>
      </w:r>
    </w:p>
    <w:p>
      <w:pPr>
        <w:pStyle w:val="BodyText"/>
      </w:pPr>
      <w:r>
        <w:rPr>
          <w:bCs/>
          <w:b/>
        </w:rPr>
        <w:t xml:space="preserve">Decision — erase, not a divider line.</w:t>
      </w:r>
      <w:r>
        <w:t xml:space="preserve"> </w:t>
      </w:r>
      <w:r>
        <w:t xml:space="preserve">A horizontal rule across the board was considered and rejected. It still leaves dead work on screen to scroll past, and the same confusion returns a few problems later. A visible erase also reads as a deliberate teaching act rather than a glitch, which is how a real teacher handles a board.</w:t>
      </w:r>
    </w:p>
    <w:bookmarkEnd w:id="22"/>
    <w:bookmarkStart w:id="23" w:name="acceptance-test"/>
    <w:p>
      <w:pPr>
        <w:pStyle w:val="Heading1"/>
      </w:pPr>
      <w:r>
        <w:t xml:space="preserve">Acceptance test</w:t>
      </w:r>
    </w:p>
    <w:p>
      <w:pPr>
        <w:pStyle w:val="FirstParagraph"/>
      </w:pPr>
      <w:r>
        <w:t xml:space="preserve">Cover the board and read the transcript. Cover the words and read the board.</w:t>
      </w:r>
      <w:r>
        <w:t xml:space="preserve"> </w:t>
      </w:r>
      <w:r>
        <w:rPr>
          <w:bCs/>
          <w:b/>
        </w:rPr>
        <w:t xml:space="preserve">Both should tell the same story.</w:t>
      </w:r>
      <w:r>
        <w:t xml:space="preserve"> </w:t>
      </w:r>
      <w:r>
        <w:t xml:space="preserve">If they ever diverge, the work is not done. This takes about thirty seconds and requires no tooling.</w:t>
      </w:r>
    </w:p>
    <w:bookmarkEnd w:id="23"/>
    <w:bookmarkStart w:id="24" w:name="X6f94802a0ac227ca0b3c60cf8d35e6d81ac1734"/>
    <w:p>
      <w:pPr>
        <w:pStyle w:val="Heading1"/>
      </w:pPr>
      <w:r>
        <w:t xml:space="preserve">What to read before proposing an implementation</w:t>
      </w:r>
    </w:p>
    <w:p>
      <w:pPr>
        <w:pStyle w:val="FirstParagraph"/>
      </w:pPr>
      <w:r>
        <w:t xml:space="preserve">Per project rules — ask for these files and read them; do not guess at their contents.</w:t>
      </w:r>
    </w:p>
    <w:p>
      <w:pPr>
        <w:numPr>
          <w:ilvl w:val="0"/>
          <w:numId w:val="1002"/>
        </w:numPr>
        <w:pStyle w:val="Compact"/>
      </w:pPr>
      <w:r>
        <w:t xml:space="preserve">Whatever assembles a tutor turn / lesson response.</w:t>
      </w:r>
    </w:p>
    <w:p>
      <w:pPr>
        <w:numPr>
          <w:ilvl w:val="0"/>
          <w:numId w:val="1002"/>
        </w:numPr>
        <w:pStyle w:val="Compact"/>
      </w:pPr>
      <w:r>
        <w:t xml:space="preserve">Whatever defines the visual or chart payload handed to the front end.</w:t>
      </w:r>
    </w:p>
    <w:p>
      <w:pPr>
        <w:numPr>
          <w:ilvl w:val="0"/>
          <w:numId w:val="1002"/>
        </w:numPr>
        <w:pStyle w:val="Compact"/>
      </w:pPr>
      <w:r>
        <w:t xml:space="preserve">The front-end component that renders the board.</w:t>
      </w:r>
    </w:p>
    <w:p>
      <w:pPr>
        <w:numPr>
          <w:ilvl w:val="0"/>
          <w:numId w:val="1002"/>
        </w:numPr>
        <w:pStyle w:val="Compact"/>
      </w:pPr>
      <w:r>
        <w:t xml:space="preserve">The existing math-check engine.</w:t>
      </w:r>
    </w:p>
    <w:p>
      <w:pPr>
        <w:pStyle w:val="FirstParagraph"/>
      </w:pPr>
      <w:r>
        <w:t xml:space="preserve">The goal of the first pass is to locate the exact point where narration and visual become two separate decisions. That point is the defect. The plan above should be treated as provisional until that reading confirms it — there is a real chance the seam sits somewhere unexpected.</w:t>
      </w:r>
    </w:p>
    <w:bookmarkEnd w:id="24"/>
    <w:bookmarkStart w:id="25" w:name="known-risk"/>
    <w:p>
      <w:pPr>
        <w:pStyle w:val="Heading1"/>
      </w:pPr>
      <w:r>
        <w:t xml:space="preserve">Known risk</w:t>
      </w:r>
    </w:p>
    <w:p>
      <w:pPr>
        <w:pStyle w:val="FirstParagraph"/>
      </w:pPr>
      <w:r>
        <w:t xml:space="preserve">If the board renderer currently accepts arbitrary content, constraining it to render only from the structured step object may ripple further than a contained change. This should be surfaced and discussed before work begins rather than discovered halfway through. Per project rules: no partial conversions, no stripped functionality, complete files.</w:t>
      </w:r>
    </w:p>
    <w:bookmarkEnd w:id="25"/>
    <w:bookmarkStart w:id="26" w:name="status"/>
    <w:p>
      <w:pPr>
        <w:pStyle w:val="Heading1"/>
      </w:pPr>
      <w:r>
        <w:t xml:space="preserve">Status</w:t>
      </w:r>
    </w:p>
    <w:p>
      <w:pPr>
        <w:pStyle w:val="FirstParagraph"/>
      </w:pPr>
      <w:r>
        <w:t xml:space="preserve">Not started. Held deliberately — another session was applying audit fixes to the same codebase, and two agents editing the same files concurrently risks silent overwrites. Resume once that work is confirmed finished.</w:t>
      </w:r>
    </w:p>
    <w:p>
      <w:pPr>
        <w:pStyle w:val="BodyText"/>
      </w:pPr>
      <w:r>
        <w:rPr>
          <w:iCs/>
          <w:i/>
        </w:rPr>
        <w:t xml:space="preserve">I did no harm and this file is not truncated.</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Note — Narration/Board Sync and Board Lifecycle</dc:title>
  <dc:creator/>
  <cp:keywords/>
  <dcterms:created xsi:type="dcterms:W3CDTF">2026-08-13T22:40:52Z</dcterms:created>
  <dcterms:modified xsi:type="dcterms:W3CDTF">2026-08-13T22:40:52Z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13, 2026</vt:lpwstr>
  </property>
  <property fmtid="{D5CDD505-2E9C-101B-9397-08002B2CF9AE}" pid="3" name="subtitle">
    <vt:lpwstr>My Tutor — decision record</vt:lpwstr>
  </property>
</Properties>
</file>