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32"/>
          <w:szCs w:val="32"/>
        </w:rPr>
        <w:t xml:space="preserve">INFORME TÉCNICO</w:t>
      </w:r>
    </w:p>
    <w:p>
      <w:pPr>
        <w:spacing w:after="400" w:before="200"/>
        <w:jc w:val="center"/>
      </w:pPr>
      <w:r>
        <w:rPr>
          <w:b/>
          <w:bCs/>
          <w:sz w:val="40"/>
          <w:szCs w:val="40"/>
        </w:rPr>
        <w:t xml:space="preserve">Validación del motor de cálculo lumínico propio frente a DIALux evo</w:t>
      </w:r>
    </w:p>
    <w:p>
      <w:pPr>
        <w:spacing w:after="100"/>
        <w:jc w:val="center"/>
      </w:pPr>
      <w:r>
        <w:rPr>
          <w:i/>
          <w:iCs/>
          <w:color w:val="555555"/>
          <w:sz w:val="24"/>
          <w:szCs w:val="24"/>
        </w:rPr>
        <w:t xml:space="preserve">Comparación de fórmulas teóricas, resultados de campo y validación contra casos analíticos exactos (CIE 171:2006) y simulación física independiente (Radiance)</w:t>
      </w:r>
    </w:p>
    <w:p>
      <w:pPr>
        <w:spacing w:before="800"/>
        <w:jc w:val="center"/>
      </w:pPr>
      <w:r>
        <w:rPr>
          <w:color w:val="555555"/>
          <w:sz w:val="22"/>
          <w:szCs w:val="22"/>
        </w:rPr>
        <w:t xml:space="preserve">25 de agosto de 2026</w:t>
      </w:r>
    </w:p>
    <w:p>
      <w:r>
        <w:br w:type="page"/>
      </w:r>
    </w:p>
    <w:p>
      <w:pPr>
        <w:pStyle w:val="Heading1"/>
        <w:spacing w:after="160" w:before="360"/>
      </w:pPr>
      <w:r>
        <w:rPr>
          <w:b/>
          <w:bCs/>
          <w:color w:val="1F4E79"/>
          <w:sz w:val="30"/>
          <w:szCs w:val="30"/>
        </w:rPr>
        <w:t xml:space="preserve">1. Resumen ejecutivo</w:t>
      </w:r>
    </w:p>
    <w:p>
      <w:pPr>
        <w:spacing w:after="160" w:line="300"/>
      </w:pPr>
      <w:r>
        <w:rPr>
          <w:sz w:val="22"/>
          <w:szCs w:val="22"/>
        </w:rPr>
        <w:t xml:space="preserve">Este informe documenta la validación del motor de cálculo lumínico propio del proyecto, comparándolo con (a) la fórmula teórica clásica del método de flujo, (b) los resultados reportados por DIALux evo para proyectos reales, (c) el caso de prueba analítico exacto CIE 171:2006 usado por DIAL GmbH para validar su propio software, y (d) Radiance, un motor de simulación lumínica de código abierto validado académicamente, usado aquí como tercer punto de referencia físico independiente.</w:t>
      </w:r>
    </w:p>
    <w:p>
      <w:pPr>
        <w:spacing w:after="160" w:line="300"/>
      </w:pPr>
      <w:r>
        <w:rPr>
          <w:b/>
          <w:bCs/>
          <w:sz w:val="22"/>
          <w:szCs w:val="22"/>
        </w:rPr>
        <w:t xml:space="preserve">Hallazgos principales:</w:t>
      </w:r>
    </w:p>
    <w:p>
      <w:pPr>
        <w:pStyle w:val="ListParagraph"/>
        <w:numPr>
          <w:ilvl w:val="0"/>
          <w:numId w:val="1"/>
        </w:numPr>
        <w:spacing w:after="100" w:line="280"/>
      </w:pPr>
      <w:r>
        <w:rPr>
          <w:sz w:val="22"/>
          <w:szCs w:val="22"/>
        </w:rPr>
        <w:t xml:space="preserve">La fórmula base de cálculo punto a punto de nuestro motor reproduce el caso analítico exacto CIE 171:2006 (test 5.2) con un error máximo de 0.0089% — igual o mejor que el 0.0-0.1% reportado por DIALux evo en el mismo test (Witzel, DIAL GmbH).</w:t>
      </w:r>
    </w:p>
    <w:p>
      <w:pPr>
        <w:pStyle w:val="ListParagraph"/>
        <w:numPr>
          <w:ilvl w:val="0"/>
          <w:numId w:val="1"/>
        </w:numPr>
        <w:spacing w:after="100" w:line="280"/>
      </w:pPr>
      <w:r>
        <w:rPr>
          <w:sz w:val="22"/>
          <w:szCs w:val="22"/>
        </w:rPr>
        <w:t xml:space="preserve">En proyectos reales de tamaño y geometría normal (aulas de 42-44 m²), la diferencia frente a DIALux evo es de -0.4% a +2.3% — prácticamente exacta.</w:t>
      </w:r>
    </w:p>
    <w:p>
      <w:pPr>
        <w:pStyle w:val="ListParagraph"/>
        <w:numPr>
          <w:ilvl w:val="0"/>
          <w:numId w:val="1"/>
        </w:numPr>
        <w:spacing w:after="100" w:line="280"/>
      </w:pPr>
      <w:r>
        <w:rPr>
          <w:sz w:val="22"/>
          <w:szCs w:val="22"/>
        </w:rPr>
        <w:t xml:space="preserve">En ambientes pequeños, altos y de geometría compleja (Módulo 22), se identificó y corrigió un error real de auto-oclusión que subestimaba la interreflexión; la brecha bajó de -11.0% a -6.4% en el caso más exigente, manteniendo la oclusión activa.</w:t>
      </w:r>
    </w:p>
    <w:p>
      <w:pPr>
        <w:pStyle w:val="ListParagraph"/>
        <w:numPr>
          <w:ilvl w:val="0"/>
          <w:numId w:val="1"/>
        </w:numPr>
        <w:spacing w:after="100" w:line="280"/>
      </w:pPr>
      <w:r>
        <w:rPr>
          <w:sz w:val="22"/>
          <w:szCs w:val="22"/>
        </w:rPr>
        <w:t xml:space="preserve">Triangulando con Radiance (física completa, sin aproximaciones) sobre la geometría real de ese mismo ambiente, se determinó que DIALux evo también subestima la interreflexión física real en un 23.8% — y que el modo iterativo de nuestro propio motor (-5.5% vs. Radiance) queda más cerca de la física real que el propio DIALux evo.</w:t>
      </w:r>
    </w:p>
    <w:p>
      <w:pPr>
        <w:pStyle w:val="Heading1"/>
        <w:spacing w:after="160" w:before="360"/>
      </w:pPr>
      <w:r>
        <w:rPr>
          <w:b/>
          <w:bCs/>
          <w:color w:val="1F4E79"/>
          <w:sz w:val="30"/>
          <w:szCs w:val="30"/>
        </w:rPr>
        <w:t xml:space="preserve">2. Metodología</w:t>
      </w:r>
    </w:p>
    <w:p>
      <w:pPr>
        <w:spacing w:after="160" w:line="300"/>
      </w:pPr>
      <w:r>
        <w:rPr>
          <w:sz w:val="22"/>
          <w:szCs w:val="22"/>
        </w:rPr>
        <w:t xml:space="preserve">Se comparan tres vías de cálculo independientes para la iluminancia media (Ē) de un ambiente, usando siempre la fotometría real del fabricante (archivo EULUMDAT/LDT), nunca un modelo genérico:</w:t>
      </w:r>
    </w:p>
    <w:p>
      <w:pPr>
        <w:pStyle w:val="ListParagraph"/>
        <w:numPr>
          <w:ilvl w:val="0"/>
          <w:numId w:val="1"/>
        </w:numPr>
        <w:spacing w:after="100" w:line="280"/>
      </w:pPr>
      <w:r>
        <w:rPr>
          <w:sz w:val="22"/>
          <w:szCs w:val="22"/>
        </w:rPr>
        <w:t xml:space="preserve">Método de flujo (teórico clásico) — un solo factor de utilización resume el ambiente.</w:t>
      </w:r>
    </w:p>
    <w:p>
      <w:pPr>
        <w:pStyle w:val="ListParagraph"/>
        <w:numPr>
          <w:ilvl w:val="0"/>
          <w:numId w:val="1"/>
        </w:numPr>
        <w:spacing w:after="100" w:line="280"/>
      </w:pPr>
      <w:r>
        <w:rPr>
          <w:sz w:val="22"/>
          <w:szCs w:val="22"/>
        </w:rPr>
        <w:t xml:space="preserve">Método punto a punto con interreflexión — el que usan tanto nuestro motor como DIALux evo, con distintas implementaciones internas.</w:t>
      </w:r>
    </w:p>
    <w:p>
      <w:pPr>
        <w:pStyle w:val="ListParagraph"/>
        <w:numPr>
          <w:ilvl w:val="0"/>
          <w:numId w:val="1"/>
        </w:numPr>
        <w:spacing w:after="100" w:line="280"/>
      </w:pPr>
      <w:r>
        <w:rPr>
          <w:sz w:val="22"/>
          <w:szCs w:val="22"/>
        </w:rPr>
        <w:t xml:space="preserve">Radiosidad física completa sin aproximaciones (Radiance) — usada como referencia física independiente, no como "producto a igualar".</w:t>
      </w:r>
    </w:p>
    <w:p>
      <w:pPr>
        <w:pStyle w:val="Heading1"/>
        <w:spacing w:after="160" w:before="360"/>
      </w:pPr>
      <w:r>
        <w:rPr>
          <w:b/>
          <w:bCs/>
          <w:color w:val="1F4E79"/>
          <w:sz w:val="30"/>
          <w:szCs w:val="30"/>
        </w:rPr>
        <w:t xml:space="preserve">3. Marco teórico y fórmulas</w:t>
      </w:r>
    </w:p>
    <w:p>
      <w:pPr>
        <w:pStyle w:val="Heading2"/>
        <w:spacing w:after="120" w:before="280"/>
      </w:pPr>
      <w:r>
        <w:rPr>
          <w:b/>
          <w:bCs/>
          <w:color w:val="1F4E79"/>
          <w:sz w:val="24"/>
          <w:szCs w:val="24"/>
        </w:rPr>
        <w:t xml:space="preserve">3.1 Método de flujo (teórico)</w:t>
      </w:r>
    </w:p>
    <w:p>
      <w:pPr>
        <w:pBdr>
          <w:top w:val="single" w:color="CCCCCC" w:sz="4"/>
          <w:bottom w:val="single" w:color="CCCCCC" w:sz="4"/>
          <w:left w:val="single" w:color="CCCCCC" w:sz="4"/>
          <w:right w:val="single" w:color="CCCCCC" w:sz="4"/>
        </w:pBdr>
        <w:shd w:fill="F2F2F2" w:val="clear"/>
        <w:spacing w:after="200" w:before="120"/>
        <w:jc w:val="center"/>
      </w:pPr>
      <w:r>
        <w:rPr>
          <w:rFonts w:ascii="Cambria Math" w:cs="Cambria Math" w:eastAsia="Cambria Math" w:hAnsi="Cambria Math"/>
          <w:i/>
          <w:iCs/>
          <w:sz w:val="24"/>
          <w:szCs w:val="24"/>
        </w:rPr>
        <w:t xml:space="preserve">Ē = (Φtotal × UF × MF) / Área</w:t>
      </w:r>
    </w:p>
    <w:p>
      <w:pPr>
        <w:spacing w:after="160" w:line="300"/>
      </w:pPr>
      <w:r>
        <w:rPr>
          <w:sz w:val="22"/>
          <w:szCs w:val="22"/>
        </w:rPr>
        <w:t xml:space="preserve">Donde Φtotal = N × Φluminaria (flujo total instalado), UF = factor de utilización (depende del índice de local K y las reflectancias), MF = factor de mantenimiento.</w:t>
      </w:r>
    </w:p>
    <w:p>
      <w:pPr>
        <w:spacing w:after="160"/>
        <w:ind w:left="400"/>
      </w:pPr>
      <w:r>
        <w:rPr>
          <w:color w:val="555555"/>
          <w:sz w:val="20"/>
          <w:szCs w:val="20"/>
        </w:rPr>
        <w:t xml:space="preserve">Fuente: método clásico de diseño lumínico — IESNA Lighting Handbook, 10.ª edición; CIBSE Code for Lighting.</w:t>
      </w:r>
    </w:p>
    <w:p>
      <w:pPr>
        <w:pStyle w:val="Heading2"/>
        <w:spacing w:after="120" w:before="280"/>
      </w:pPr>
      <w:r>
        <w:rPr>
          <w:b/>
          <w:bCs/>
          <w:color w:val="1F4E79"/>
          <w:sz w:val="24"/>
          <w:szCs w:val="24"/>
        </w:rPr>
        <w:t xml:space="preserve">3.2 Índice del local</w:t>
      </w:r>
    </w:p>
    <w:p>
      <w:pPr>
        <w:pBdr>
          <w:top w:val="single" w:color="CCCCCC" w:sz="4"/>
          <w:bottom w:val="single" w:color="CCCCCC" w:sz="4"/>
          <w:left w:val="single" w:color="CCCCCC" w:sz="4"/>
          <w:right w:val="single" w:color="CCCCCC" w:sz="4"/>
        </w:pBdr>
        <w:shd w:fill="F2F2F2" w:val="clear"/>
        <w:spacing w:after="200" w:before="120"/>
        <w:jc w:val="center"/>
      </w:pPr>
      <w:r>
        <w:rPr>
          <w:rFonts w:ascii="Cambria Math" w:cs="Cambria Math" w:eastAsia="Cambria Math" w:hAnsi="Cambria Math"/>
          <w:i/>
          <w:iCs/>
          <w:sz w:val="24"/>
          <w:szCs w:val="24"/>
        </w:rPr>
        <w:t xml:space="preserve">K = (L × W) / (h × (L + W))</w:t>
      </w:r>
    </w:p>
    <w:p>
      <w:pPr>
        <w:spacing w:after="160"/>
        <w:ind w:left="400"/>
      </w:pPr>
      <w:r>
        <w:rPr>
          <w:color w:val="555555"/>
          <w:sz w:val="20"/>
          <w:szCs w:val="20"/>
        </w:rPr>
        <w:t xml:space="preserve">Fuente: EN 12464-1:2021, "Iluminación de los lugares de trabajo — Interiores".</w:t>
      </w:r>
    </w:p>
    <w:p>
      <w:pPr>
        <w:pStyle w:val="Heading2"/>
        <w:spacing w:after="120" w:before="280"/>
      </w:pPr>
      <w:r>
        <w:rPr>
          <w:b/>
          <w:bCs/>
          <w:color w:val="1F4E79"/>
          <w:sz w:val="24"/>
          <w:szCs w:val="24"/>
        </w:rPr>
        <w:t xml:space="preserve">3.3 Cálculo punto a punto (nuestro motor y DIALux evo)</w:t>
      </w:r>
    </w:p>
    <w:p>
      <w:pPr>
        <w:pBdr>
          <w:top w:val="single" w:color="CCCCCC" w:sz="4"/>
          <w:bottom w:val="single" w:color="CCCCCC" w:sz="4"/>
          <w:left w:val="single" w:color="CCCCCC" w:sz="4"/>
          <w:right w:val="single" w:color="CCCCCC" w:sz="4"/>
        </w:pBdr>
        <w:shd w:fill="F2F2F2" w:val="clear"/>
        <w:spacing w:after="200" w:before="120"/>
        <w:jc w:val="center"/>
      </w:pPr>
      <w:r>
        <w:rPr>
          <w:rFonts w:ascii="Cambria Math" w:cs="Cambria Math" w:eastAsia="Cambria Math" w:hAnsi="Cambria Math"/>
          <w:i/>
          <w:iCs/>
          <w:sz w:val="24"/>
          <w:szCs w:val="24"/>
        </w:rPr>
        <w:t xml:space="preserve">E(punto) = Σ [ I(γ) × cos(γ) / d² ]  (suma sobre cada luminaria)</w:t>
      </w:r>
    </w:p>
    <w:p>
      <w:pPr>
        <w:spacing w:after="160" w:line="300"/>
      </w:pPr>
      <w:r>
        <w:rPr>
          <w:sz w:val="22"/>
          <w:szCs w:val="22"/>
        </w:rPr>
        <w:t xml:space="preserve">I(γ) es la intensidad luminosa real de la luminaria en la dirección del punto (interpolada del archivo fotométrico del fabricante), γ es el ángulo desde el nadir de la luminaria, d es la distancia directa (oblicua) entre la luminaria y el punto.</w:t>
      </w:r>
    </w:p>
    <w:p>
      <w:pPr>
        <w:spacing w:after="160" w:line="300"/>
      </w:pPr>
      <w:r>
        <w:rPr>
          <w:sz w:val="22"/>
          <w:szCs w:val="22"/>
        </w:rPr>
        <w:t xml:space="preserve">DIALux evo migró en 2012 de un método de radiosidad puro a un motor de "photon shooting" (disparo de fotones) para escenas complejas, manteniendo el cálculo directo punto a punto como base — ver sección 4.</w:t>
      </w:r>
    </w:p>
    <w:p>
      <w:pPr>
        <w:spacing w:after="160"/>
        <w:ind w:left="400"/>
      </w:pPr>
      <w:r>
        <w:rPr>
          <w:color w:val="555555"/>
          <w:sz w:val="20"/>
          <w:szCs w:val="20"/>
        </w:rPr>
        <w:t xml:space="preserve">Fuente: Witzel, D. (DIAL GmbH), "DIALux evo – New calculation method".</w:t>
      </w:r>
    </w:p>
    <w:p>
      <w:pPr>
        <w:pStyle w:val="Heading2"/>
        <w:spacing w:after="120" w:before="280"/>
      </w:pPr>
      <w:r>
        <w:rPr>
          <w:b/>
          <w:bCs/>
          <w:color w:val="1F4E79"/>
          <w:sz w:val="24"/>
          <w:szCs w:val="24"/>
        </w:rPr>
        <w:t xml:space="preserve">3.4 Interreflexión (radiosidad)</w:t>
      </w:r>
    </w:p>
    <w:p>
      <w:pPr>
        <w:spacing w:after="160" w:line="300"/>
      </w:pPr>
      <w:r>
        <w:rPr>
          <w:sz w:val="22"/>
          <w:szCs w:val="22"/>
        </w:rPr>
        <w:t xml:space="preserve">La luz reflejada entre paredes, techo y piso se modela dividiendo cada superficie en parches y resolviendo el intercambio de energía entre ellos (radiosidad), de forma iterativa hasta convergencia, o con una aproximación de un solo rebote ("first-bounce") cuando se prioriza velocidad de cálculo.</w:t>
      </w:r>
    </w:p>
    <w:p>
      <w:pPr>
        <w:spacing w:after="160"/>
        <w:ind w:left="400"/>
      </w:pPr>
      <w:r>
        <w:rPr>
          <w:color w:val="555555"/>
          <w:sz w:val="20"/>
          <w:szCs w:val="20"/>
        </w:rPr>
        <w:t xml:space="preserve">Fuente: Cohen, M.F.; Wallace, J.R. (1993), Radiosity and Realistic Image Synthesis; Sillion, F.X.; Puech, C. (1994), Radiosity &amp; Global Illumination — citadas también por Witzel (DIAL GmbH).</w:t>
      </w:r>
    </w:p>
    <w:p>
      <w:pPr>
        <w:pStyle w:val="Heading2"/>
        <w:spacing w:after="120" w:before="280"/>
      </w:pPr>
      <w:r>
        <w:rPr>
          <w:b/>
          <w:bCs/>
          <w:color w:val="1F4E79"/>
          <w:sz w:val="24"/>
          <w:szCs w:val="24"/>
        </w:rPr>
        <w:t xml:space="preserve">3.5 Deslumbramiento (UGR)</w:t>
      </w:r>
    </w:p>
    <w:p>
      <w:pPr>
        <w:spacing w:after="160" w:line="300"/>
      </w:pPr>
      <w:r>
        <w:rPr>
          <w:sz w:val="22"/>
          <w:szCs w:val="22"/>
        </w:rPr>
        <w:t xml:space="preserve">Índice de posición de Guth, evaluado en el observador de peor caso, dentro de su rango de validez H/R≤2.</w:t>
      </w:r>
    </w:p>
    <w:p>
      <w:pPr>
        <w:spacing w:after="160"/>
        <w:ind w:left="400"/>
      </w:pPr>
      <w:r>
        <w:rPr>
          <w:color w:val="555555"/>
          <w:sz w:val="20"/>
          <w:szCs w:val="20"/>
        </w:rPr>
        <w:t xml:space="preserve">Fuente: CIE 117:1995, método de posición de Guth.</w:t>
      </w:r>
    </w:p>
    <w:p>
      <w:pPr>
        <w:pStyle w:val="Heading1"/>
        <w:spacing w:after="160" w:before="360"/>
      </w:pPr>
      <w:r>
        <w:rPr>
          <w:b/>
          <w:bCs/>
          <w:color w:val="1F4E79"/>
          <w:sz w:val="30"/>
          <w:szCs w:val="30"/>
        </w:rPr>
        <w:t xml:space="preserve">4. Validación contra caso analítico exacto — CIE 171:2006</w:t>
      </w:r>
    </w:p>
    <w:p>
      <w:pPr>
        <w:spacing w:after="160" w:line="300"/>
      </w:pPr>
      <w:r>
        <w:rPr>
          <w:sz w:val="22"/>
          <w:szCs w:val="22"/>
        </w:rPr>
        <w:t xml:space="preserve">A diferencia de comparar contra otro software (que también puede tener error), CIE 171:2006 define casos de prueba con solución matemática cerrada (fuente puntual con distribución fotométrica conocida, sin geometría de sala ni interreflexión de por medio). Es el mismo estándar que DIAL GmbH usó para validar DIALux evo, y el que usó Mangkuto (2015) para validar DIALux 4.12 y DIALux evo 4.1 de forma independiente en una publicación revisada por pares.</w:t>
      </w:r>
    </w:p>
    <w:p>
      <w:pPr>
        <w:spacing w:after="160" w:line="300"/>
      </w:pPr>
      <w:r>
        <w:rPr>
          <w:b/>
          <w:bCs/>
          <w:sz w:val="22"/>
          <w:szCs w:val="22"/>
        </w:rPr>
        <w:t xml:space="preserve">Test 5.2 — fuente puntual de fotometría difusa (Lambertiana):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gridCol w:w="100"/>
        <w:gridCol w:w="100"/>
      </w:tblGrid>
      <w:tr>
        <w:trPr>
          <w:tblHeader/>
        </w:trPr>
        <w:tc>
          <w:tcPr>
            <w:shd w:fill="1F4E79" w:val="clear"/>
            <w:tcMar>
              <w:top w:type="dxa" w:w="80"/>
              <w:left w:type="dxa" w:w="100"/>
              <w:bottom w:type="dxa" w:w="80"/>
              <w:right w:type="dxa" w:w="100"/>
            </w:tcMar>
            <w:vAlign w:val="center"/>
          </w:tcPr>
          <w:p>
            <w:pPr>
              <w:jc w:val="center"/>
            </w:pPr>
            <w:r>
              <w:rPr>
                <w:b/>
                <w:bCs/>
                <w:color w:val="FFFFFF"/>
                <w:sz w:val="20"/>
                <w:szCs w:val="20"/>
              </w:rPr>
              <w:t xml:space="preserve">Punto</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d (m)</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γ (°)</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E esperado (lx)</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Nuestro motor (lx)</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Error</w:t>
            </w:r>
          </w:p>
        </w:tc>
      </w:tr>
      <w:tr>
        <w:tc>
          <w:tcPr>
            <w:tcMar>
              <w:top w:type="dxa" w:w="80"/>
              <w:left w:type="dxa" w:w="100"/>
              <w:bottom w:type="dxa" w:w="80"/>
              <w:right w:type="dxa" w:w="100"/>
            </w:tcMar>
            <w:vAlign w:val="center"/>
          </w:tcPr>
          <w:p>
            <w:pPr>
              <w:jc w:val="center"/>
            </w:pPr>
            <w:r>
              <w:rPr>
                <w:b w:val="false"/>
                <w:bCs w:val="false"/>
                <w:sz w:val="20"/>
                <w:szCs w:val="20"/>
              </w:rPr>
              <w:t xml:space="preserve">A</w:t>
            </w:r>
          </w:p>
        </w:tc>
        <w:tc>
          <w:tcPr>
            <w:tcMar>
              <w:top w:type="dxa" w:w="80"/>
              <w:left w:type="dxa" w:w="100"/>
              <w:bottom w:type="dxa" w:w="80"/>
              <w:right w:type="dxa" w:w="100"/>
            </w:tcMar>
            <w:vAlign w:val="center"/>
          </w:tcPr>
          <w:p>
            <w:pPr>
              <w:jc w:val="center"/>
            </w:pPr>
            <w:r>
              <w:rPr>
                <w:b w:val="false"/>
                <w:bCs w:val="false"/>
                <w:sz w:val="20"/>
                <w:szCs w:val="20"/>
              </w:rPr>
              <w:t xml:space="preserve">3.000</w:t>
            </w:r>
          </w:p>
        </w:tc>
        <w:tc>
          <w:tcPr>
            <w:tcMar>
              <w:top w:type="dxa" w:w="80"/>
              <w:left w:type="dxa" w:w="100"/>
              <w:bottom w:type="dxa" w:w="80"/>
              <w:right w:type="dxa" w:w="100"/>
            </w:tcMar>
            <w:vAlign w:val="center"/>
          </w:tcPr>
          <w:p>
            <w:pPr>
              <w:jc w:val="center"/>
            </w:pPr>
            <w:r>
              <w:rPr>
                <w:b w:val="false"/>
                <w:bCs w:val="false"/>
                <w:sz w:val="20"/>
                <w:szCs w:val="20"/>
              </w:rPr>
              <w:t xml:space="preserve">0.00</w:t>
            </w:r>
          </w:p>
        </w:tc>
        <w:tc>
          <w:tcPr>
            <w:tcMar>
              <w:top w:type="dxa" w:w="80"/>
              <w:left w:type="dxa" w:w="100"/>
              <w:bottom w:type="dxa" w:w="80"/>
              <w:right w:type="dxa" w:w="100"/>
            </w:tcMar>
            <w:vAlign w:val="center"/>
          </w:tcPr>
          <w:p>
            <w:pPr>
              <w:jc w:val="center"/>
            </w:pPr>
            <w:r>
              <w:rPr>
                <w:b w:val="false"/>
                <w:bCs w:val="false"/>
                <w:sz w:val="20"/>
                <w:szCs w:val="20"/>
              </w:rPr>
              <w:t xml:space="preserve">111.11</w:t>
            </w:r>
          </w:p>
        </w:tc>
        <w:tc>
          <w:tcPr>
            <w:tcMar>
              <w:top w:type="dxa" w:w="80"/>
              <w:left w:type="dxa" w:w="100"/>
              <w:bottom w:type="dxa" w:w="80"/>
              <w:right w:type="dxa" w:w="100"/>
            </w:tcMar>
            <w:vAlign w:val="center"/>
          </w:tcPr>
          <w:p>
            <w:pPr>
              <w:jc w:val="center"/>
            </w:pPr>
            <w:r>
              <w:rPr>
                <w:b w:val="false"/>
                <w:bCs w:val="false"/>
                <w:sz w:val="20"/>
                <w:szCs w:val="20"/>
              </w:rPr>
              <w:t xml:space="preserve">111.11</w:t>
            </w:r>
          </w:p>
        </w:tc>
        <w:tc>
          <w:tcPr>
            <w:tcMar>
              <w:top w:type="dxa" w:w="80"/>
              <w:left w:type="dxa" w:w="100"/>
              <w:bottom w:type="dxa" w:w="80"/>
              <w:right w:type="dxa" w:w="100"/>
            </w:tcMar>
            <w:vAlign w:val="center"/>
          </w:tcPr>
          <w:p>
            <w:pPr>
              <w:jc w:val="center"/>
            </w:pPr>
            <w:r>
              <w:rPr>
                <w:b w:val="false"/>
                <w:bCs w:val="false"/>
                <w:sz w:val="20"/>
                <w:szCs w:val="20"/>
              </w:rPr>
              <w:t xml:space="preserve">0.001%</w:t>
            </w:r>
          </w:p>
        </w:tc>
      </w:tr>
      <w:tr>
        <w:tc>
          <w:tcPr>
            <w:tcMar>
              <w:top w:type="dxa" w:w="80"/>
              <w:left w:type="dxa" w:w="100"/>
              <w:bottom w:type="dxa" w:w="80"/>
              <w:right w:type="dxa" w:w="100"/>
            </w:tcMar>
            <w:vAlign w:val="center"/>
          </w:tcPr>
          <w:p>
            <w:pPr>
              <w:jc w:val="center"/>
            </w:pPr>
            <w:r>
              <w:rPr>
                <w:b w:val="false"/>
                <w:bCs w:val="false"/>
                <w:sz w:val="20"/>
                <w:szCs w:val="20"/>
              </w:rPr>
              <w:t xml:space="preserve">B</w:t>
            </w:r>
          </w:p>
        </w:tc>
        <w:tc>
          <w:tcPr>
            <w:tcMar>
              <w:top w:type="dxa" w:w="80"/>
              <w:left w:type="dxa" w:w="100"/>
              <w:bottom w:type="dxa" w:w="80"/>
              <w:right w:type="dxa" w:w="100"/>
            </w:tcMar>
            <w:vAlign w:val="center"/>
          </w:tcPr>
          <w:p>
            <w:pPr>
              <w:jc w:val="center"/>
            </w:pPr>
            <w:r>
              <w:rPr>
                <w:b w:val="false"/>
                <w:bCs w:val="false"/>
                <w:sz w:val="20"/>
                <w:szCs w:val="20"/>
              </w:rPr>
              <w:t xml:space="preserve">3.041</w:t>
            </w:r>
          </w:p>
        </w:tc>
        <w:tc>
          <w:tcPr>
            <w:tcMar>
              <w:top w:type="dxa" w:w="80"/>
              <w:left w:type="dxa" w:w="100"/>
              <w:bottom w:type="dxa" w:w="80"/>
              <w:right w:type="dxa" w:w="100"/>
            </w:tcMar>
            <w:vAlign w:val="center"/>
          </w:tcPr>
          <w:p>
            <w:pPr>
              <w:jc w:val="center"/>
            </w:pPr>
            <w:r>
              <w:rPr>
                <w:b w:val="false"/>
                <w:bCs w:val="false"/>
                <w:sz w:val="20"/>
                <w:szCs w:val="20"/>
              </w:rPr>
              <w:t xml:space="preserve">9.46</w:t>
            </w:r>
          </w:p>
        </w:tc>
        <w:tc>
          <w:tcPr>
            <w:tcMar>
              <w:top w:type="dxa" w:w="80"/>
              <w:left w:type="dxa" w:w="100"/>
              <w:bottom w:type="dxa" w:w="80"/>
              <w:right w:type="dxa" w:w="100"/>
            </w:tcMar>
            <w:vAlign w:val="center"/>
          </w:tcPr>
          <w:p>
            <w:pPr>
              <w:jc w:val="center"/>
            </w:pPr>
            <w:r>
              <w:rPr>
                <w:b w:val="false"/>
                <w:bCs w:val="false"/>
                <w:sz w:val="20"/>
                <w:szCs w:val="20"/>
              </w:rPr>
              <w:t xml:space="preserve">105.21</w:t>
            </w:r>
          </w:p>
        </w:tc>
        <w:tc>
          <w:tcPr>
            <w:tcMar>
              <w:top w:type="dxa" w:w="80"/>
              <w:left w:type="dxa" w:w="100"/>
              <w:bottom w:type="dxa" w:w="80"/>
              <w:right w:type="dxa" w:w="100"/>
            </w:tcMar>
            <w:vAlign w:val="center"/>
          </w:tcPr>
          <w:p>
            <w:pPr>
              <w:jc w:val="center"/>
            </w:pPr>
            <w:r>
              <w:rPr>
                <w:b w:val="false"/>
                <w:bCs w:val="false"/>
                <w:sz w:val="20"/>
                <w:szCs w:val="20"/>
              </w:rPr>
              <w:t xml:space="preserve">105.21</w:t>
            </w:r>
          </w:p>
        </w:tc>
        <w:tc>
          <w:tcPr>
            <w:tcMar>
              <w:top w:type="dxa" w:w="80"/>
              <w:left w:type="dxa" w:w="100"/>
              <w:bottom w:type="dxa" w:w="80"/>
              <w:right w:type="dxa" w:w="100"/>
            </w:tcMar>
            <w:vAlign w:val="center"/>
          </w:tcPr>
          <w:p>
            <w:pPr>
              <w:jc w:val="center"/>
            </w:pPr>
            <w:r>
              <w:rPr>
                <w:b w:val="false"/>
                <w:bCs w:val="false"/>
                <w:sz w:val="20"/>
                <w:szCs w:val="20"/>
              </w:rPr>
              <w:t xml:space="preserve">0.004%</w:t>
            </w:r>
          </w:p>
        </w:tc>
      </w:tr>
      <w:tr>
        <w:tc>
          <w:tcPr>
            <w:tcMar>
              <w:top w:type="dxa" w:w="80"/>
              <w:left w:type="dxa" w:w="100"/>
              <w:bottom w:type="dxa" w:w="80"/>
              <w:right w:type="dxa" w:w="100"/>
            </w:tcMar>
            <w:vAlign w:val="center"/>
          </w:tcPr>
          <w:p>
            <w:pPr>
              <w:jc w:val="center"/>
            </w:pPr>
            <w:r>
              <w:rPr>
                <w:b w:val="false"/>
                <w:bCs w:val="false"/>
                <w:sz w:val="20"/>
                <w:szCs w:val="20"/>
              </w:rPr>
              <w:t xml:space="preserve">C</w:t>
            </w:r>
          </w:p>
        </w:tc>
        <w:tc>
          <w:tcPr>
            <w:tcMar>
              <w:top w:type="dxa" w:w="80"/>
              <w:left w:type="dxa" w:w="100"/>
              <w:bottom w:type="dxa" w:w="80"/>
              <w:right w:type="dxa" w:w="100"/>
            </w:tcMar>
            <w:vAlign w:val="center"/>
          </w:tcPr>
          <w:p>
            <w:pPr>
              <w:jc w:val="center"/>
            </w:pPr>
            <w:r>
              <w:rPr>
                <w:b w:val="false"/>
                <w:bCs w:val="false"/>
                <w:sz w:val="20"/>
                <w:szCs w:val="20"/>
              </w:rPr>
              <w:t xml:space="preserve">3.162</w:t>
            </w:r>
          </w:p>
        </w:tc>
        <w:tc>
          <w:tcPr>
            <w:tcMar>
              <w:top w:type="dxa" w:w="80"/>
              <w:left w:type="dxa" w:w="100"/>
              <w:bottom w:type="dxa" w:w="80"/>
              <w:right w:type="dxa" w:w="100"/>
            </w:tcMar>
            <w:vAlign w:val="center"/>
          </w:tcPr>
          <w:p>
            <w:pPr>
              <w:jc w:val="center"/>
            </w:pPr>
            <w:r>
              <w:rPr>
                <w:b w:val="false"/>
                <w:bCs w:val="false"/>
                <w:sz w:val="20"/>
                <w:szCs w:val="20"/>
              </w:rPr>
              <w:t xml:space="preserve">18.43</w:t>
            </w:r>
          </w:p>
        </w:tc>
        <w:tc>
          <w:tcPr>
            <w:tcMar>
              <w:top w:type="dxa" w:w="80"/>
              <w:left w:type="dxa" w:w="100"/>
              <w:bottom w:type="dxa" w:w="80"/>
              <w:right w:type="dxa" w:w="100"/>
            </w:tcMar>
            <w:vAlign w:val="center"/>
          </w:tcPr>
          <w:p>
            <w:pPr>
              <w:jc w:val="center"/>
            </w:pPr>
            <w:r>
              <w:rPr>
                <w:b w:val="false"/>
                <w:bCs w:val="false"/>
                <w:sz w:val="20"/>
                <w:szCs w:val="20"/>
              </w:rPr>
              <w:t xml:space="preserve">90.02</w:t>
            </w:r>
          </w:p>
        </w:tc>
        <w:tc>
          <w:tcPr>
            <w:tcMar>
              <w:top w:type="dxa" w:w="80"/>
              <w:left w:type="dxa" w:w="100"/>
              <w:bottom w:type="dxa" w:w="80"/>
              <w:right w:type="dxa" w:w="100"/>
            </w:tcMar>
            <w:vAlign w:val="center"/>
          </w:tcPr>
          <w:p>
            <w:pPr>
              <w:jc w:val="center"/>
            </w:pPr>
            <w:r>
              <w:rPr>
                <w:b w:val="false"/>
                <w:bCs w:val="false"/>
                <w:sz w:val="20"/>
                <w:szCs w:val="20"/>
              </w:rPr>
              <w:t xml:space="preserve">90.02</w:t>
            </w:r>
          </w:p>
        </w:tc>
        <w:tc>
          <w:tcPr>
            <w:tcMar>
              <w:top w:type="dxa" w:w="80"/>
              <w:left w:type="dxa" w:w="100"/>
              <w:bottom w:type="dxa" w:w="80"/>
              <w:right w:type="dxa" w:w="100"/>
            </w:tcMar>
            <w:vAlign w:val="center"/>
          </w:tcPr>
          <w:p>
            <w:pPr>
              <w:jc w:val="center"/>
            </w:pPr>
            <w:r>
              <w:rPr>
                <w:b w:val="false"/>
                <w:bCs w:val="false"/>
                <w:sz w:val="20"/>
                <w:szCs w:val="20"/>
              </w:rPr>
              <w:t xml:space="preserve">0.001%</w:t>
            </w:r>
          </w:p>
        </w:tc>
      </w:tr>
      <w:tr>
        <w:tc>
          <w:tcPr>
            <w:tcMar>
              <w:top w:type="dxa" w:w="80"/>
              <w:left w:type="dxa" w:w="100"/>
              <w:bottom w:type="dxa" w:w="80"/>
              <w:right w:type="dxa" w:w="100"/>
            </w:tcMar>
            <w:vAlign w:val="center"/>
          </w:tcPr>
          <w:p>
            <w:pPr>
              <w:jc w:val="center"/>
            </w:pPr>
            <w:r>
              <w:rPr>
                <w:b w:val="false"/>
                <w:bCs w:val="false"/>
                <w:sz w:val="20"/>
                <w:szCs w:val="20"/>
              </w:rPr>
              <w:t xml:space="preserve">D</w:t>
            </w:r>
          </w:p>
        </w:tc>
        <w:tc>
          <w:tcPr>
            <w:tcMar>
              <w:top w:type="dxa" w:w="80"/>
              <w:left w:type="dxa" w:w="100"/>
              <w:bottom w:type="dxa" w:w="80"/>
              <w:right w:type="dxa" w:w="100"/>
            </w:tcMar>
            <w:vAlign w:val="center"/>
          </w:tcPr>
          <w:p>
            <w:pPr>
              <w:jc w:val="center"/>
            </w:pPr>
            <w:r>
              <w:rPr>
                <w:b w:val="false"/>
                <w:bCs w:val="false"/>
                <w:sz w:val="20"/>
                <w:szCs w:val="20"/>
              </w:rPr>
              <w:t xml:space="preserve">3.354</w:t>
            </w:r>
          </w:p>
        </w:tc>
        <w:tc>
          <w:tcPr>
            <w:tcMar>
              <w:top w:type="dxa" w:w="80"/>
              <w:left w:type="dxa" w:w="100"/>
              <w:bottom w:type="dxa" w:w="80"/>
              <w:right w:type="dxa" w:w="100"/>
            </w:tcMar>
            <w:vAlign w:val="center"/>
          </w:tcPr>
          <w:p>
            <w:pPr>
              <w:jc w:val="center"/>
            </w:pPr>
            <w:r>
              <w:rPr>
                <w:b w:val="false"/>
                <w:bCs w:val="false"/>
                <w:sz w:val="20"/>
                <w:szCs w:val="20"/>
              </w:rPr>
              <w:t xml:space="preserve">26.57</w:t>
            </w:r>
          </w:p>
        </w:tc>
        <w:tc>
          <w:tcPr>
            <w:tcMar>
              <w:top w:type="dxa" w:w="80"/>
              <w:left w:type="dxa" w:w="100"/>
              <w:bottom w:type="dxa" w:w="80"/>
              <w:right w:type="dxa" w:w="100"/>
            </w:tcMar>
            <w:vAlign w:val="center"/>
          </w:tcPr>
          <w:p>
            <w:pPr>
              <w:jc w:val="center"/>
            </w:pPr>
            <w:r>
              <w:rPr>
                <w:b w:val="false"/>
                <w:bCs w:val="false"/>
                <w:sz w:val="20"/>
                <w:szCs w:val="20"/>
              </w:rPr>
              <w:t xml:space="preserve">71.11</w:t>
            </w:r>
          </w:p>
        </w:tc>
        <w:tc>
          <w:tcPr>
            <w:tcMar>
              <w:top w:type="dxa" w:w="80"/>
              <w:left w:type="dxa" w:w="100"/>
              <w:bottom w:type="dxa" w:w="80"/>
              <w:right w:type="dxa" w:w="100"/>
            </w:tcMar>
            <w:vAlign w:val="center"/>
          </w:tcPr>
          <w:p>
            <w:pPr>
              <w:jc w:val="center"/>
            </w:pPr>
            <w:r>
              <w:rPr>
                <w:b w:val="false"/>
                <w:bCs w:val="false"/>
                <w:sz w:val="20"/>
                <w:szCs w:val="20"/>
              </w:rPr>
              <w:t xml:space="preserve">71.11</w:t>
            </w:r>
          </w:p>
        </w:tc>
        <w:tc>
          <w:tcPr>
            <w:tcMar>
              <w:top w:type="dxa" w:w="80"/>
              <w:left w:type="dxa" w:w="100"/>
              <w:bottom w:type="dxa" w:w="80"/>
              <w:right w:type="dxa" w:w="100"/>
            </w:tcMar>
            <w:vAlign w:val="center"/>
          </w:tcPr>
          <w:p>
            <w:pPr>
              <w:jc w:val="center"/>
            </w:pPr>
            <w:r>
              <w:rPr>
                <w:b w:val="false"/>
                <w:bCs w:val="false"/>
                <w:sz w:val="20"/>
                <w:szCs w:val="20"/>
              </w:rPr>
              <w:t xml:space="preserve">-0.001%</w:t>
            </w:r>
          </w:p>
        </w:tc>
      </w:tr>
      <w:tr>
        <w:tc>
          <w:tcPr>
            <w:tcMar>
              <w:top w:type="dxa" w:w="80"/>
              <w:left w:type="dxa" w:w="100"/>
              <w:bottom w:type="dxa" w:w="80"/>
              <w:right w:type="dxa" w:w="100"/>
            </w:tcMar>
            <w:vAlign w:val="center"/>
          </w:tcPr>
          <w:p>
            <w:pPr>
              <w:jc w:val="center"/>
            </w:pPr>
            <w:r>
              <w:rPr>
                <w:b w:val="false"/>
                <w:bCs w:val="false"/>
                <w:sz w:val="20"/>
                <w:szCs w:val="20"/>
              </w:rPr>
              <w:t xml:space="preserve">E</w:t>
            </w:r>
          </w:p>
        </w:tc>
        <w:tc>
          <w:tcPr>
            <w:tcMar>
              <w:top w:type="dxa" w:w="80"/>
              <w:left w:type="dxa" w:w="100"/>
              <w:bottom w:type="dxa" w:w="80"/>
              <w:right w:type="dxa" w:w="100"/>
            </w:tcMar>
            <w:vAlign w:val="center"/>
          </w:tcPr>
          <w:p>
            <w:pPr>
              <w:jc w:val="center"/>
            </w:pPr>
            <w:r>
              <w:rPr>
                <w:b w:val="false"/>
                <w:bCs w:val="false"/>
                <w:sz w:val="20"/>
                <w:szCs w:val="20"/>
              </w:rPr>
              <w:t xml:space="preserve">3.082</w:t>
            </w:r>
          </w:p>
        </w:tc>
        <w:tc>
          <w:tcPr>
            <w:tcMar>
              <w:top w:type="dxa" w:w="80"/>
              <w:left w:type="dxa" w:w="100"/>
              <w:bottom w:type="dxa" w:w="80"/>
              <w:right w:type="dxa" w:w="100"/>
            </w:tcMar>
            <w:vAlign w:val="center"/>
          </w:tcPr>
          <w:p>
            <w:pPr>
              <w:jc w:val="center"/>
            </w:pPr>
            <w:r>
              <w:rPr>
                <w:b w:val="false"/>
                <w:bCs w:val="false"/>
                <w:sz w:val="20"/>
                <w:szCs w:val="20"/>
              </w:rPr>
              <w:t xml:space="preserve">13.26</w:t>
            </w:r>
          </w:p>
        </w:tc>
        <w:tc>
          <w:tcPr>
            <w:tcMar>
              <w:top w:type="dxa" w:w="80"/>
              <w:left w:type="dxa" w:w="100"/>
              <w:bottom w:type="dxa" w:w="80"/>
              <w:right w:type="dxa" w:w="100"/>
            </w:tcMar>
            <w:vAlign w:val="center"/>
          </w:tcPr>
          <w:p>
            <w:pPr>
              <w:jc w:val="center"/>
            </w:pPr>
            <w:r>
              <w:rPr>
                <w:b w:val="false"/>
                <w:bCs w:val="false"/>
                <w:sz w:val="20"/>
                <w:szCs w:val="20"/>
              </w:rPr>
              <w:t xml:space="preserve">99.73</w:t>
            </w:r>
          </w:p>
        </w:tc>
        <w:tc>
          <w:tcPr>
            <w:tcMar>
              <w:top w:type="dxa" w:w="80"/>
              <w:left w:type="dxa" w:w="100"/>
              <w:bottom w:type="dxa" w:w="80"/>
              <w:right w:type="dxa" w:w="100"/>
            </w:tcMar>
            <w:vAlign w:val="center"/>
          </w:tcPr>
          <w:p>
            <w:pPr>
              <w:jc w:val="center"/>
            </w:pPr>
            <w:r>
              <w:rPr>
                <w:b w:val="false"/>
                <w:bCs w:val="false"/>
                <w:sz w:val="20"/>
                <w:szCs w:val="20"/>
              </w:rPr>
              <w:t xml:space="preserve">99.74</w:t>
            </w:r>
          </w:p>
        </w:tc>
        <w:tc>
          <w:tcPr>
            <w:tcMar>
              <w:top w:type="dxa" w:w="80"/>
              <w:left w:type="dxa" w:w="100"/>
              <w:bottom w:type="dxa" w:w="80"/>
              <w:right w:type="dxa" w:w="100"/>
            </w:tcMar>
            <w:vAlign w:val="center"/>
          </w:tcPr>
          <w:p>
            <w:pPr>
              <w:jc w:val="center"/>
            </w:pPr>
            <w:r>
              <w:rPr>
                <w:b w:val="false"/>
                <w:bCs w:val="false"/>
                <w:sz w:val="20"/>
                <w:szCs w:val="20"/>
              </w:rPr>
              <w:t xml:space="preserve">0.009%</w:t>
            </w:r>
          </w:p>
        </w:tc>
      </w:tr>
      <w:tr>
        <w:tc>
          <w:tcPr>
            <w:tcMar>
              <w:top w:type="dxa" w:w="80"/>
              <w:left w:type="dxa" w:w="100"/>
              <w:bottom w:type="dxa" w:w="80"/>
              <w:right w:type="dxa" w:w="100"/>
            </w:tcMar>
            <w:vAlign w:val="center"/>
          </w:tcPr>
          <w:p>
            <w:pPr>
              <w:jc w:val="center"/>
            </w:pPr>
            <w:r>
              <w:rPr>
                <w:b w:val="false"/>
                <w:bCs w:val="false"/>
                <w:sz w:val="20"/>
                <w:szCs w:val="20"/>
              </w:rPr>
              <w:t xml:space="preserve">F</w:t>
            </w:r>
          </w:p>
        </w:tc>
        <w:tc>
          <w:tcPr>
            <w:tcMar>
              <w:top w:type="dxa" w:w="80"/>
              <w:left w:type="dxa" w:w="100"/>
              <w:bottom w:type="dxa" w:w="80"/>
              <w:right w:type="dxa" w:w="100"/>
            </w:tcMar>
            <w:vAlign w:val="center"/>
          </w:tcPr>
          <w:p>
            <w:pPr>
              <w:jc w:val="center"/>
            </w:pPr>
            <w:r>
              <w:rPr>
                <w:b w:val="false"/>
                <w:bCs w:val="false"/>
                <w:sz w:val="20"/>
                <w:szCs w:val="20"/>
              </w:rPr>
              <w:t xml:space="preserve">3.202</w:t>
            </w:r>
          </w:p>
        </w:tc>
        <w:tc>
          <w:tcPr>
            <w:tcMar>
              <w:top w:type="dxa" w:w="80"/>
              <w:left w:type="dxa" w:w="100"/>
              <w:bottom w:type="dxa" w:w="80"/>
              <w:right w:type="dxa" w:w="100"/>
            </w:tcMar>
            <w:vAlign w:val="center"/>
          </w:tcPr>
          <w:p>
            <w:pPr>
              <w:jc w:val="center"/>
            </w:pPr>
            <w:r>
              <w:rPr>
                <w:b w:val="false"/>
                <w:bCs w:val="false"/>
                <w:sz w:val="20"/>
                <w:szCs w:val="20"/>
              </w:rPr>
              <w:t xml:space="preserve">20.44</w:t>
            </w:r>
          </w:p>
        </w:tc>
        <w:tc>
          <w:tcPr>
            <w:tcMar>
              <w:top w:type="dxa" w:w="80"/>
              <w:left w:type="dxa" w:w="100"/>
              <w:bottom w:type="dxa" w:w="80"/>
              <w:right w:type="dxa" w:w="100"/>
            </w:tcMar>
            <w:vAlign w:val="center"/>
          </w:tcPr>
          <w:p>
            <w:pPr>
              <w:jc w:val="center"/>
            </w:pPr>
            <w:r>
              <w:rPr>
                <w:b w:val="false"/>
                <w:bCs w:val="false"/>
                <w:sz w:val="20"/>
                <w:szCs w:val="20"/>
              </w:rPr>
              <w:t xml:space="preserve">85.64</w:t>
            </w:r>
          </w:p>
        </w:tc>
        <w:tc>
          <w:tcPr>
            <w:tcMar>
              <w:top w:type="dxa" w:w="80"/>
              <w:left w:type="dxa" w:w="100"/>
              <w:bottom w:type="dxa" w:w="80"/>
              <w:right w:type="dxa" w:w="100"/>
            </w:tcMar>
            <w:vAlign w:val="center"/>
          </w:tcPr>
          <w:p>
            <w:pPr>
              <w:jc w:val="center"/>
            </w:pPr>
            <w:r>
              <w:rPr>
                <w:b w:val="false"/>
                <w:bCs w:val="false"/>
                <w:sz w:val="20"/>
                <w:szCs w:val="20"/>
              </w:rPr>
              <w:t xml:space="preserve">85.64</w:t>
            </w:r>
          </w:p>
        </w:tc>
        <w:tc>
          <w:tcPr>
            <w:tcMar>
              <w:top w:type="dxa" w:w="80"/>
              <w:left w:type="dxa" w:w="100"/>
              <w:bottom w:type="dxa" w:w="80"/>
              <w:right w:type="dxa" w:w="100"/>
            </w:tcMar>
            <w:vAlign w:val="center"/>
          </w:tcPr>
          <w:p>
            <w:pPr>
              <w:jc w:val="center"/>
            </w:pPr>
            <w:r>
              <w:rPr>
                <w:b w:val="false"/>
                <w:bCs w:val="false"/>
                <w:sz w:val="20"/>
                <w:szCs w:val="20"/>
              </w:rPr>
              <w:t xml:space="preserve">-0.001%</w:t>
            </w:r>
          </w:p>
        </w:tc>
      </w:tr>
      <w:tr>
        <w:tc>
          <w:tcPr>
            <w:tcMar>
              <w:top w:type="dxa" w:w="80"/>
              <w:left w:type="dxa" w:w="100"/>
              <w:bottom w:type="dxa" w:w="80"/>
              <w:right w:type="dxa" w:w="100"/>
            </w:tcMar>
            <w:vAlign w:val="center"/>
          </w:tcPr>
          <w:p>
            <w:pPr>
              <w:jc w:val="center"/>
            </w:pPr>
            <w:r>
              <w:rPr>
                <w:b w:val="false"/>
                <w:bCs w:val="false"/>
                <w:sz w:val="20"/>
                <w:szCs w:val="20"/>
              </w:rPr>
              <w:t xml:space="preserve">G</w:t>
            </w:r>
          </w:p>
        </w:tc>
        <w:tc>
          <w:tcPr>
            <w:tcMar>
              <w:top w:type="dxa" w:w="80"/>
              <w:left w:type="dxa" w:w="100"/>
              <w:bottom w:type="dxa" w:w="80"/>
              <w:right w:type="dxa" w:w="100"/>
            </w:tcMar>
            <w:vAlign w:val="center"/>
          </w:tcPr>
          <w:p>
            <w:pPr>
              <w:jc w:val="center"/>
            </w:pPr>
            <w:r>
              <w:rPr>
                <w:b w:val="false"/>
                <w:bCs w:val="false"/>
                <w:sz w:val="20"/>
                <w:szCs w:val="20"/>
              </w:rPr>
              <w:t xml:space="preserve">3.391</w:t>
            </w:r>
          </w:p>
        </w:tc>
        <w:tc>
          <w:tcPr>
            <w:tcMar>
              <w:top w:type="dxa" w:w="80"/>
              <w:left w:type="dxa" w:w="100"/>
              <w:bottom w:type="dxa" w:w="80"/>
              <w:right w:type="dxa" w:w="100"/>
            </w:tcMar>
            <w:vAlign w:val="center"/>
          </w:tcPr>
          <w:p>
            <w:pPr>
              <w:jc w:val="center"/>
            </w:pPr>
            <w:r>
              <w:rPr>
                <w:b w:val="false"/>
                <w:bCs w:val="false"/>
                <w:sz w:val="20"/>
                <w:szCs w:val="20"/>
              </w:rPr>
              <w:t xml:space="preserve">27.79</w:t>
            </w:r>
          </w:p>
        </w:tc>
        <w:tc>
          <w:tcPr>
            <w:tcMar>
              <w:top w:type="dxa" w:w="80"/>
              <w:left w:type="dxa" w:w="100"/>
              <w:bottom w:type="dxa" w:w="80"/>
              <w:right w:type="dxa" w:w="100"/>
            </w:tcMar>
            <w:vAlign w:val="center"/>
          </w:tcPr>
          <w:p>
            <w:pPr>
              <w:jc w:val="center"/>
            </w:pPr>
            <w:r>
              <w:rPr>
                <w:b w:val="false"/>
                <w:bCs w:val="false"/>
                <w:sz w:val="20"/>
                <w:szCs w:val="20"/>
              </w:rPr>
              <w:t xml:space="preserve">68.06</w:t>
            </w:r>
          </w:p>
        </w:tc>
        <w:tc>
          <w:tcPr>
            <w:tcMar>
              <w:top w:type="dxa" w:w="80"/>
              <w:left w:type="dxa" w:w="100"/>
              <w:bottom w:type="dxa" w:w="80"/>
              <w:right w:type="dxa" w:w="100"/>
            </w:tcMar>
            <w:vAlign w:val="center"/>
          </w:tcPr>
          <w:p>
            <w:pPr>
              <w:jc w:val="center"/>
            </w:pPr>
            <w:r>
              <w:rPr>
                <w:b w:val="false"/>
                <w:bCs w:val="false"/>
                <w:sz w:val="20"/>
                <w:szCs w:val="20"/>
              </w:rPr>
              <w:t xml:space="preserve">68.06</w:t>
            </w:r>
          </w:p>
        </w:tc>
        <w:tc>
          <w:tcPr>
            <w:tcMar>
              <w:top w:type="dxa" w:w="80"/>
              <w:left w:type="dxa" w:w="100"/>
              <w:bottom w:type="dxa" w:w="80"/>
              <w:right w:type="dxa" w:w="100"/>
            </w:tcMar>
            <w:vAlign w:val="center"/>
          </w:tcPr>
          <w:p>
            <w:pPr>
              <w:jc w:val="center"/>
            </w:pPr>
            <w:r>
              <w:rPr>
                <w:b w:val="false"/>
                <w:bCs w:val="false"/>
                <w:sz w:val="20"/>
                <w:szCs w:val="20"/>
              </w:rPr>
              <w:t xml:space="preserve">0.002%</w:t>
            </w:r>
          </w:p>
        </w:tc>
      </w:tr>
      <w:tr>
        <w:tc>
          <w:tcPr>
            <w:tcMar>
              <w:top w:type="dxa" w:w="80"/>
              <w:left w:type="dxa" w:w="100"/>
              <w:bottom w:type="dxa" w:w="80"/>
              <w:right w:type="dxa" w:w="100"/>
            </w:tcMar>
            <w:vAlign w:val="center"/>
          </w:tcPr>
          <w:p>
            <w:pPr>
              <w:jc w:val="center"/>
            </w:pPr>
            <w:r>
              <w:rPr>
                <w:b w:val="false"/>
                <w:bCs w:val="false"/>
                <w:sz w:val="20"/>
                <w:szCs w:val="20"/>
              </w:rPr>
              <w:t xml:space="preserve">H</w:t>
            </w:r>
          </w:p>
        </w:tc>
        <w:tc>
          <w:tcPr>
            <w:tcMar>
              <w:top w:type="dxa" w:w="80"/>
              <w:left w:type="dxa" w:w="100"/>
              <w:bottom w:type="dxa" w:w="80"/>
              <w:right w:type="dxa" w:w="100"/>
            </w:tcMar>
            <w:vAlign w:val="center"/>
          </w:tcPr>
          <w:p>
            <w:pPr>
              <w:jc w:val="center"/>
            </w:pPr>
            <w:r>
              <w:rPr>
                <w:b w:val="false"/>
                <w:bCs w:val="false"/>
                <w:sz w:val="20"/>
                <w:szCs w:val="20"/>
              </w:rPr>
              <w:t xml:space="preserve">3.317</w:t>
            </w:r>
          </w:p>
        </w:tc>
        <w:tc>
          <w:tcPr>
            <w:tcMar>
              <w:top w:type="dxa" w:w="80"/>
              <w:left w:type="dxa" w:w="100"/>
              <w:bottom w:type="dxa" w:w="80"/>
              <w:right w:type="dxa" w:w="100"/>
            </w:tcMar>
            <w:vAlign w:val="center"/>
          </w:tcPr>
          <w:p>
            <w:pPr>
              <w:jc w:val="center"/>
            </w:pPr>
            <w:r>
              <w:rPr>
                <w:b w:val="false"/>
                <w:bCs w:val="false"/>
                <w:sz w:val="20"/>
                <w:szCs w:val="20"/>
              </w:rPr>
              <w:t xml:space="preserve">25.24</w:t>
            </w:r>
          </w:p>
        </w:tc>
        <w:tc>
          <w:tcPr>
            <w:tcMar>
              <w:top w:type="dxa" w:w="80"/>
              <w:left w:type="dxa" w:w="100"/>
              <w:bottom w:type="dxa" w:w="80"/>
              <w:right w:type="dxa" w:w="100"/>
            </w:tcMar>
            <w:vAlign w:val="center"/>
          </w:tcPr>
          <w:p>
            <w:pPr>
              <w:jc w:val="center"/>
            </w:pPr>
            <w:r>
              <w:rPr>
                <w:b w:val="false"/>
                <w:bCs w:val="false"/>
                <w:sz w:val="20"/>
                <w:szCs w:val="20"/>
              </w:rPr>
              <w:t xml:space="preserve">74.36</w:t>
            </w:r>
          </w:p>
        </w:tc>
        <w:tc>
          <w:tcPr>
            <w:tcMar>
              <w:top w:type="dxa" w:w="80"/>
              <w:left w:type="dxa" w:w="100"/>
              <w:bottom w:type="dxa" w:w="80"/>
              <w:right w:type="dxa" w:w="100"/>
            </w:tcMar>
            <w:vAlign w:val="center"/>
          </w:tcPr>
          <w:p>
            <w:pPr>
              <w:jc w:val="center"/>
            </w:pPr>
            <w:r>
              <w:rPr>
                <w:b w:val="false"/>
                <w:bCs w:val="false"/>
                <w:sz w:val="20"/>
                <w:szCs w:val="20"/>
              </w:rPr>
              <w:t xml:space="preserve">74.36</w:t>
            </w:r>
          </w:p>
        </w:tc>
        <w:tc>
          <w:tcPr>
            <w:tcMar>
              <w:top w:type="dxa" w:w="80"/>
              <w:left w:type="dxa" w:w="100"/>
              <w:bottom w:type="dxa" w:w="80"/>
              <w:right w:type="dxa" w:w="100"/>
            </w:tcMar>
            <w:vAlign w:val="center"/>
          </w:tcPr>
          <w:p>
            <w:pPr>
              <w:jc w:val="center"/>
            </w:pPr>
            <w:r>
              <w:rPr>
                <w:b w:val="false"/>
                <w:bCs w:val="false"/>
                <w:sz w:val="20"/>
                <w:szCs w:val="20"/>
              </w:rPr>
              <w:t xml:space="preserve">0.004%</w:t>
            </w:r>
          </w:p>
        </w:tc>
      </w:tr>
      <w:tr>
        <w:tc>
          <w:tcPr>
            <w:tcMar>
              <w:top w:type="dxa" w:w="80"/>
              <w:left w:type="dxa" w:w="100"/>
              <w:bottom w:type="dxa" w:w="80"/>
              <w:right w:type="dxa" w:w="100"/>
            </w:tcMar>
            <w:vAlign w:val="center"/>
          </w:tcPr>
          <w:p>
            <w:pPr>
              <w:jc w:val="center"/>
            </w:pPr>
            <w:r>
              <w:rPr>
                <w:b w:val="false"/>
                <w:bCs w:val="false"/>
                <w:sz w:val="20"/>
                <w:szCs w:val="20"/>
              </w:rPr>
              <w:t xml:space="preserve">I</w:t>
            </w:r>
          </w:p>
        </w:tc>
        <w:tc>
          <w:tcPr>
            <w:tcMar>
              <w:top w:type="dxa" w:w="80"/>
              <w:left w:type="dxa" w:w="100"/>
              <w:bottom w:type="dxa" w:w="80"/>
              <w:right w:type="dxa" w:w="100"/>
            </w:tcMar>
            <w:vAlign w:val="center"/>
          </w:tcPr>
          <w:p>
            <w:pPr>
              <w:jc w:val="center"/>
            </w:pPr>
            <w:r>
              <w:rPr>
                <w:b w:val="false"/>
                <w:bCs w:val="false"/>
                <w:sz w:val="20"/>
                <w:szCs w:val="20"/>
              </w:rPr>
              <w:t xml:space="preserve">3.500</w:t>
            </w:r>
          </w:p>
        </w:tc>
        <w:tc>
          <w:tcPr>
            <w:tcMar>
              <w:top w:type="dxa" w:w="80"/>
              <w:left w:type="dxa" w:w="100"/>
              <w:bottom w:type="dxa" w:w="80"/>
              <w:right w:type="dxa" w:w="100"/>
            </w:tcMar>
            <w:vAlign w:val="center"/>
          </w:tcPr>
          <w:p>
            <w:pPr>
              <w:jc w:val="center"/>
            </w:pPr>
            <w:r>
              <w:rPr>
                <w:b w:val="false"/>
                <w:bCs w:val="false"/>
                <w:sz w:val="20"/>
                <w:szCs w:val="20"/>
              </w:rPr>
              <w:t xml:space="preserve">31.00</w:t>
            </w:r>
          </w:p>
        </w:tc>
        <w:tc>
          <w:tcPr>
            <w:tcMar>
              <w:top w:type="dxa" w:w="80"/>
              <w:left w:type="dxa" w:w="100"/>
              <w:bottom w:type="dxa" w:w="80"/>
              <w:right w:type="dxa" w:w="100"/>
            </w:tcMar>
            <w:vAlign w:val="center"/>
          </w:tcPr>
          <w:p>
            <w:pPr>
              <w:jc w:val="center"/>
            </w:pPr>
            <w:r>
              <w:rPr>
                <w:b w:val="false"/>
                <w:bCs w:val="false"/>
                <w:sz w:val="20"/>
                <w:szCs w:val="20"/>
              </w:rPr>
              <w:t xml:space="preserve">59.98</w:t>
            </w:r>
          </w:p>
        </w:tc>
        <w:tc>
          <w:tcPr>
            <w:tcMar>
              <w:top w:type="dxa" w:w="80"/>
              <w:left w:type="dxa" w:w="100"/>
              <w:bottom w:type="dxa" w:w="80"/>
              <w:right w:type="dxa" w:w="100"/>
            </w:tcMar>
            <w:vAlign w:val="center"/>
          </w:tcPr>
          <w:p>
            <w:pPr>
              <w:jc w:val="center"/>
            </w:pPr>
            <w:r>
              <w:rPr>
                <w:b w:val="false"/>
                <w:bCs w:val="false"/>
                <w:sz w:val="20"/>
                <w:szCs w:val="20"/>
              </w:rPr>
              <w:t xml:space="preserve">59.98</w:t>
            </w:r>
          </w:p>
        </w:tc>
        <w:tc>
          <w:tcPr>
            <w:tcMar>
              <w:top w:type="dxa" w:w="80"/>
              <w:left w:type="dxa" w:w="100"/>
              <w:bottom w:type="dxa" w:w="80"/>
              <w:right w:type="dxa" w:w="100"/>
            </w:tcMar>
            <w:vAlign w:val="center"/>
          </w:tcPr>
          <w:p>
            <w:pPr>
              <w:jc w:val="center"/>
            </w:pPr>
            <w:r>
              <w:rPr>
                <w:b w:val="false"/>
                <w:bCs w:val="false"/>
                <w:sz w:val="20"/>
                <w:szCs w:val="20"/>
              </w:rPr>
              <w:t xml:space="preserve">-0.003%</w:t>
            </w:r>
          </w:p>
        </w:tc>
      </w:tr>
      <w:tr>
        <w:tc>
          <w:tcPr>
            <w:tcMar>
              <w:top w:type="dxa" w:w="80"/>
              <w:left w:type="dxa" w:w="100"/>
              <w:bottom w:type="dxa" w:w="80"/>
              <w:right w:type="dxa" w:w="100"/>
            </w:tcMar>
            <w:vAlign w:val="center"/>
          </w:tcPr>
          <w:p>
            <w:pPr>
              <w:jc w:val="center"/>
            </w:pPr>
            <w:r>
              <w:rPr>
                <w:b w:val="false"/>
                <w:bCs w:val="false"/>
                <w:sz w:val="20"/>
                <w:szCs w:val="20"/>
              </w:rPr>
              <w:t xml:space="preserve">J</w:t>
            </w:r>
          </w:p>
        </w:tc>
        <w:tc>
          <w:tcPr>
            <w:tcMar>
              <w:top w:type="dxa" w:w="80"/>
              <w:left w:type="dxa" w:w="100"/>
              <w:bottom w:type="dxa" w:w="80"/>
              <w:right w:type="dxa" w:w="100"/>
            </w:tcMar>
            <w:vAlign w:val="center"/>
          </w:tcPr>
          <w:p>
            <w:pPr>
              <w:jc w:val="center"/>
            </w:pPr>
            <w:r>
              <w:rPr>
                <w:b w:val="false"/>
                <w:bCs w:val="false"/>
                <w:sz w:val="20"/>
                <w:szCs w:val="20"/>
              </w:rPr>
              <w:t xml:space="preserve">3.674</w:t>
            </w:r>
          </w:p>
        </w:tc>
        <w:tc>
          <w:tcPr>
            <w:tcMar>
              <w:top w:type="dxa" w:w="80"/>
              <w:left w:type="dxa" w:w="100"/>
              <w:bottom w:type="dxa" w:w="80"/>
              <w:right w:type="dxa" w:w="100"/>
            </w:tcMar>
            <w:vAlign w:val="center"/>
          </w:tcPr>
          <w:p>
            <w:pPr>
              <w:jc w:val="center"/>
            </w:pPr>
            <w:r>
              <w:rPr>
                <w:b w:val="false"/>
                <w:bCs w:val="false"/>
                <w:sz w:val="20"/>
                <w:szCs w:val="20"/>
              </w:rPr>
              <w:t xml:space="preserve">35.26</w:t>
            </w:r>
          </w:p>
        </w:tc>
        <w:tc>
          <w:tcPr>
            <w:tcMar>
              <w:top w:type="dxa" w:w="80"/>
              <w:left w:type="dxa" w:w="100"/>
              <w:bottom w:type="dxa" w:w="80"/>
              <w:right w:type="dxa" w:w="100"/>
            </w:tcMar>
            <w:vAlign w:val="center"/>
          </w:tcPr>
          <w:p>
            <w:pPr>
              <w:jc w:val="center"/>
            </w:pPr>
            <w:r>
              <w:rPr>
                <w:b w:val="false"/>
                <w:bCs w:val="false"/>
                <w:sz w:val="20"/>
                <w:szCs w:val="20"/>
              </w:rPr>
              <w:t xml:space="preserve">49.39</w:t>
            </w:r>
          </w:p>
        </w:tc>
        <w:tc>
          <w:tcPr>
            <w:tcMar>
              <w:top w:type="dxa" w:w="80"/>
              <w:left w:type="dxa" w:w="100"/>
              <w:bottom w:type="dxa" w:w="80"/>
              <w:right w:type="dxa" w:w="100"/>
            </w:tcMar>
            <w:vAlign w:val="center"/>
          </w:tcPr>
          <w:p>
            <w:pPr>
              <w:jc w:val="center"/>
            </w:pPr>
            <w:r>
              <w:rPr>
                <w:b w:val="false"/>
                <w:bCs w:val="false"/>
                <w:sz w:val="20"/>
                <w:szCs w:val="20"/>
              </w:rPr>
              <w:t xml:space="preserve">49.39</w:t>
            </w:r>
          </w:p>
        </w:tc>
        <w:tc>
          <w:tcPr>
            <w:tcMar>
              <w:top w:type="dxa" w:w="80"/>
              <w:left w:type="dxa" w:w="100"/>
              <w:bottom w:type="dxa" w:w="80"/>
              <w:right w:type="dxa" w:w="100"/>
            </w:tcMar>
            <w:vAlign w:val="center"/>
          </w:tcPr>
          <w:p>
            <w:pPr>
              <w:jc w:val="center"/>
            </w:pPr>
            <w:r>
              <w:rPr>
                <w:b w:val="false"/>
                <w:bCs w:val="false"/>
                <w:sz w:val="20"/>
                <w:szCs w:val="20"/>
              </w:rPr>
              <w:t xml:space="preserve">0.009%</w:t>
            </w:r>
          </w:p>
        </w:tc>
      </w:tr>
    </w:tbl>
    <w:p>
      <w:pPr>
        <w:spacing w:after="160" w:line="300"/>
      </w:pPr>
      <w:r>
        <w:rPr>
          <w:sz w:val="22"/>
          <w:szCs w:val="22"/>
        </w:rPr>
        <w:t xml:space="preserve"/>
      </w:r>
    </w:p>
    <w:p>
      <w:pPr>
        <w:spacing w:after="160" w:line="300"/>
      </w:pPr>
      <w:r>
        <w:rPr>
          <w:sz w:val="22"/>
          <w:szCs w:val="22"/>
        </w:rPr>
        <w:t xml:space="preserve">Error máximo obtenido: </w:t>
      </w:r>
      <w:r>
        <w:rPr>
          <w:b/>
          <w:bCs/>
          <w:color w:val="2E7D32"/>
          <w:sz w:val="22"/>
          <w:szCs w:val="22"/>
        </w:rPr>
        <w:t xml:space="preserve">0.0089%. </w:t>
      </w:r>
      <w:r>
        <w:rPr>
          <w:sz w:val="22"/>
          <w:szCs w:val="22"/>
        </w:rPr>
        <w:t xml:space="preserve">DIALux evo reportó, en el mismo test, un error de 0.0% a 0.1% (Witzel, DIAL GmbH, pág. 15). Nuestro motor iguala o supera ligeramente esa precisión en el cálculo base punto a punto.</w:t>
      </w:r>
    </w:p>
    <w:p>
      <w:pPr>
        <w:spacing w:after="160"/>
        <w:ind w:left="400"/>
      </w:pPr>
      <w:r>
        <w:rPr>
          <w:color w:val="555555"/>
          <w:sz w:val="20"/>
          <w:szCs w:val="20"/>
        </w:rPr>
        <w:t xml:space="preserve">Fuentes: CIE 171:2006, "Test Cases to Assess the Accuracy of Lighting Computer Programs"; Witzel, D. (DIAL GmbH), "DIALux evo – New calculation method"; Mangkuto, R. A. (2015), "Validation of DIALux 4.12 and DIALux evo 4.1 against the Analytical Test Cases of CIE 171:2006", LEUKOS, DOI: 10.1080/15502724.2015.1061438.</w:t>
      </w:r>
    </w:p>
    <w:p>
      <w:pPr>
        <w:pStyle w:val="Heading1"/>
        <w:spacing w:after="160" w:before="360"/>
      </w:pPr>
      <w:r>
        <w:rPr>
          <w:b/>
          <w:bCs/>
          <w:color w:val="1F4E79"/>
          <w:sz w:val="30"/>
          <w:szCs w:val="30"/>
        </w:rPr>
        <w:t xml:space="preserve">5. Validación de campo — proyectos reales</w:t>
      </w:r>
    </w:p>
    <w:p>
      <w:pPr>
        <w:pStyle w:val="Heading2"/>
        <w:spacing w:after="120" w:before="280"/>
      </w:pPr>
      <w:r>
        <w:rPr>
          <w:b/>
          <w:bCs/>
          <w:color w:val="1F4E79"/>
          <w:sz w:val="24"/>
          <w:szCs w:val="24"/>
        </w:rPr>
        <w:t xml:space="preserve">5.1 Vinchos (ambientes grandes, geometría regular)</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gridCol w:w="100"/>
        <w:gridCol w:w="100"/>
        <w:gridCol w:w="100"/>
      </w:tblGrid>
      <w:tr>
        <w:trPr>
          <w:tblHeader/>
        </w:trPr>
        <w:tc>
          <w:tcPr>
            <w:shd w:fill="1F4E79" w:val="clear"/>
            <w:tcMar>
              <w:top w:type="dxa" w:w="80"/>
              <w:left w:type="dxa" w:w="100"/>
              <w:bottom w:type="dxa" w:w="80"/>
              <w:right w:type="dxa" w:w="100"/>
            </w:tcMar>
            <w:vAlign w:val="center"/>
          </w:tcPr>
          <w:p>
            <w:pPr>
              <w:jc w:val="center"/>
            </w:pPr>
            <w:r>
              <w:rPr>
                <w:b/>
                <w:bCs/>
                <w:color w:val="FFFFFF"/>
                <w:sz w:val="20"/>
                <w:szCs w:val="20"/>
              </w:rPr>
              <w:t xml:space="preserve">Ambiente</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Área</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nuestro motor</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DIALux evo</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Diferencia</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Uo nuestro</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Uo DIALux</w:t>
            </w:r>
          </w:p>
        </w:tc>
      </w:tr>
      <w:tr>
        <w:tc>
          <w:tcPr>
            <w:tcMar>
              <w:top w:type="dxa" w:w="80"/>
              <w:left w:type="dxa" w:w="100"/>
              <w:bottom w:type="dxa" w:w="80"/>
              <w:right w:type="dxa" w:w="100"/>
            </w:tcMar>
            <w:vAlign w:val="center"/>
          </w:tcPr>
          <w:p>
            <w:pPr>
              <w:jc w:val="center"/>
            </w:pPr>
            <w:r>
              <w:rPr>
                <w:b w:val="false"/>
                <w:bCs w:val="false"/>
                <w:sz w:val="20"/>
                <w:szCs w:val="20"/>
              </w:rPr>
              <w:t xml:space="preserve">Aula 1°</w:t>
            </w:r>
          </w:p>
        </w:tc>
        <w:tc>
          <w:tcPr>
            <w:tcMar>
              <w:top w:type="dxa" w:w="80"/>
              <w:left w:type="dxa" w:w="100"/>
              <w:bottom w:type="dxa" w:w="80"/>
              <w:right w:type="dxa" w:w="100"/>
            </w:tcMar>
            <w:vAlign w:val="center"/>
          </w:tcPr>
          <w:p>
            <w:pPr>
              <w:jc w:val="center"/>
            </w:pPr>
            <w:r>
              <w:rPr>
                <w:b w:val="false"/>
                <w:bCs w:val="false"/>
                <w:sz w:val="20"/>
                <w:szCs w:val="20"/>
              </w:rPr>
              <w:t xml:space="preserve">43.80 m²</w:t>
            </w:r>
          </w:p>
        </w:tc>
        <w:tc>
          <w:tcPr>
            <w:tcMar>
              <w:top w:type="dxa" w:w="80"/>
              <w:left w:type="dxa" w:w="100"/>
              <w:bottom w:type="dxa" w:w="80"/>
              <w:right w:type="dxa" w:w="100"/>
            </w:tcMar>
            <w:vAlign w:val="center"/>
          </w:tcPr>
          <w:p>
            <w:pPr>
              <w:jc w:val="center"/>
            </w:pPr>
            <w:r>
              <w:rPr>
                <w:b w:val="false"/>
                <w:bCs w:val="false"/>
                <w:sz w:val="20"/>
                <w:szCs w:val="20"/>
              </w:rPr>
              <w:t xml:space="preserve">541.9 lx</w:t>
            </w:r>
          </w:p>
        </w:tc>
        <w:tc>
          <w:tcPr>
            <w:tcMar>
              <w:top w:type="dxa" w:w="80"/>
              <w:left w:type="dxa" w:w="100"/>
              <w:bottom w:type="dxa" w:w="80"/>
              <w:right w:type="dxa" w:w="100"/>
            </w:tcMar>
            <w:vAlign w:val="center"/>
          </w:tcPr>
          <w:p>
            <w:pPr>
              <w:jc w:val="center"/>
            </w:pPr>
            <w:r>
              <w:rPr>
                <w:b w:val="false"/>
                <w:bCs w:val="false"/>
                <w:sz w:val="20"/>
                <w:szCs w:val="20"/>
              </w:rPr>
              <w:t xml:space="preserve">544 lx</w:t>
            </w:r>
          </w:p>
        </w:tc>
        <w:tc>
          <w:tcPr>
            <w:tcMar>
              <w:top w:type="dxa" w:w="80"/>
              <w:left w:type="dxa" w:w="100"/>
              <w:bottom w:type="dxa" w:w="80"/>
              <w:right w:type="dxa" w:w="100"/>
            </w:tcMar>
            <w:vAlign w:val="center"/>
          </w:tcPr>
          <w:p>
            <w:pPr>
              <w:jc w:val="center"/>
            </w:pPr>
            <w:r>
              <w:rPr>
                <w:b w:val="false"/>
                <w:bCs w:val="false"/>
                <w:sz w:val="20"/>
                <w:szCs w:val="20"/>
              </w:rPr>
              <w:t xml:space="preserve">-0.4%</w:t>
            </w:r>
          </w:p>
        </w:tc>
        <w:tc>
          <w:tcPr>
            <w:tcMar>
              <w:top w:type="dxa" w:w="80"/>
              <w:left w:type="dxa" w:w="100"/>
              <w:bottom w:type="dxa" w:w="80"/>
              <w:right w:type="dxa" w:w="100"/>
            </w:tcMar>
            <w:vAlign w:val="center"/>
          </w:tcPr>
          <w:p>
            <w:pPr>
              <w:jc w:val="center"/>
            </w:pPr>
            <w:r>
              <w:rPr>
                <w:b w:val="false"/>
                <w:bCs w:val="false"/>
                <w:sz w:val="20"/>
                <w:szCs w:val="20"/>
              </w:rPr>
              <w:t xml:space="preserve">0.43</w:t>
            </w:r>
          </w:p>
        </w:tc>
        <w:tc>
          <w:tcPr>
            <w:tcMar>
              <w:top w:type="dxa" w:w="80"/>
              <w:left w:type="dxa" w:w="100"/>
              <w:bottom w:type="dxa" w:w="80"/>
              <w:right w:type="dxa" w:w="100"/>
            </w:tcMar>
            <w:vAlign w:val="center"/>
          </w:tcPr>
          <w:p>
            <w:pPr>
              <w:jc w:val="center"/>
            </w:pPr>
            <w:r>
              <w:rPr>
                <w:b w:val="false"/>
                <w:bCs w:val="false"/>
                <w:sz w:val="20"/>
                <w:szCs w:val="20"/>
              </w:rPr>
              <w:t xml:space="preserve">0.51</w:t>
            </w:r>
          </w:p>
        </w:tc>
      </w:tr>
      <w:tr>
        <w:tc>
          <w:tcPr>
            <w:tcMar>
              <w:top w:type="dxa" w:w="80"/>
              <w:left w:type="dxa" w:w="100"/>
              <w:bottom w:type="dxa" w:w="80"/>
              <w:right w:type="dxa" w:w="100"/>
            </w:tcMar>
            <w:vAlign w:val="center"/>
          </w:tcPr>
          <w:p>
            <w:pPr>
              <w:jc w:val="center"/>
            </w:pPr>
            <w:r>
              <w:rPr>
                <w:b w:val="false"/>
                <w:bCs w:val="false"/>
                <w:sz w:val="20"/>
                <w:szCs w:val="20"/>
              </w:rPr>
              <w:t xml:space="preserve">Aula 2°</w:t>
            </w:r>
          </w:p>
        </w:tc>
        <w:tc>
          <w:tcPr>
            <w:tcMar>
              <w:top w:type="dxa" w:w="80"/>
              <w:left w:type="dxa" w:w="100"/>
              <w:bottom w:type="dxa" w:w="80"/>
              <w:right w:type="dxa" w:w="100"/>
            </w:tcMar>
            <w:vAlign w:val="center"/>
          </w:tcPr>
          <w:p>
            <w:pPr>
              <w:jc w:val="center"/>
            </w:pPr>
            <w:r>
              <w:rPr>
                <w:b w:val="false"/>
                <w:bCs w:val="false"/>
                <w:sz w:val="20"/>
                <w:szCs w:val="20"/>
              </w:rPr>
              <w:t xml:space="preserve">42.71 m²</w:t>
            </w:r>
          </w:p>
        </w:tc>
        <w:tc>
          <w:tcPr>
            <w:tcMar>
              <w:top w:type="dxa" w:w="80"/>
              <w:left w:type="dxa" w:w="100"/>
              <w:bottom w:type="dxa" w:w="80"/>
              <w:right w:type="dxa" w:w="100"/>
            </w:tcMar>
            <w:vAlign w:val="center"/>
          </w:tcPr>
          <w:p>
            <w:pPr>
              <w:jc w:val="center"/>
            </w:pPr>
            <w:r>
              <w:rPr>
                <w:b w:val="false"/>
                <w:bCs w:val="false"/>
                <w:sz w:val="20"/>
                <w:szCs w:val="20"/>
              </w:rPr>
              <w:t xml:space="preserve">580.3 lx</w:t>
            </w:r>
          </w:p>
        </w:tc>
        <w:tc>
          <w:tcPr>
            <w:tcMar>
              <w:top w:type="dxa" w:w="80"/>
              <w:left w:type="dxa" w:w="100"/>
              <w:bottom w:type="dxa" w:w="80"/>
              <w:right w:type="dxa" w:w="100"/>
            </w:tcMar>
            <w:vAlign w:val="center"/>
          </w:tcPr>
          <w:p>
            <w:pPr>
              <w:jc w:val="center"/>
            </w:pPr>
            <w:r>
              <w:rPr>
                <w:b w:val="false"/>
                <w:bCs w:val="false"/>
                <w:sz w:val="20"/>
                <w:szCs w:val="20"/>
              </w:rPr>
              <w:t xml:space="preserve">567 lx</w:t>
            </w:r>
          </w:p>
        </w:tc>
        <w:tc>
          <w:tcPr>
            <w:tcMar>
              <w:top w:type="dxa" w:w="80"/>
              <w:left w:type="dxa" w:w="100"/>
              <w:bottom w:type="dxa" w:w="80"/>
              <w:right w:type="dxa" w:w="100"/>
            </w:tcMar>
            <w:vAlign w:val="center"/>
          </w:tcPr>
          <w:p>
            <w:pPr>
              <w:jc w:val="center"/>
            </w:pPr>
            <w:r>
              <w:rPr>
                <w:b w:val="false"/>
                <w:bCs w:val="false"/>
                <w:sz w:val="20"/>
                <w:szCs w:val="20"/>
              </w:rPr>
              <w:t xml:space="preserve">+2.3%</w:t>
            </w:r>
          </w:p>
        </w:tc>
        <w:tc>
          <w:tcPr>
            <w:tcMar>
              <w:top w:type="dxa" w:w="80"/>
              <w:left w:type="dxa" w:w="100"/>
              <w:bottom w:type="dxa" w:w="80"/>
              <w:right w:type="dxa" w:w="100"/>
            </w:tcMar>
            <w:vAlign w:val="center"/>
          </w:tcPr>
          <w:p>
            <w:pPr>
              <w:jc w:val="center"/>
            </w:pPr>
            <w:r>
              <w:rPr>
                <w:b w:val="false"/>
                <w:bCs w:val="false"/>
                <w:sz w:val="20"/>
                <w:szCs w:val="20"/>
              </w:rPr>
              <w:t xml:space="preserve">0.49</w:t>
            </w:r>
          </w:p>
        </w:tc>
        <w:tc>
          <w:tcPr>
            <w:tcMar>
              <w:top w:type="dxa" w:w="80"/>
              <w:left w:type="dxa" w:w="100"/>
              <w:bottom w:type="dxa" w:w="80"/>
              <w:right w:type="dxa" w:w="100"/>
            </w:tcMar>
            <w:vAlign w:val="center"/>
          </w:tcPr>
          <w:p>
            <w:pPr>
              <w:jc w:val="center"/>
            </w:pPr>
            <w:r>
              <w:rPr>
                <w:b w:val="false"/>
                <w:bCs w:val="false"/>
                <w:sz w:val="20"/>
                <w:szCs w:val="20"/>
              </w:rPr>
              <w:t xml:space="preserve">0.53</w:t>
            </w:r>
          </w:p>
        </w:tc>
      </w:tr>
    </w:tbl>
    <w:p>
      <w:pPr>
        <w:spacing w:after="160" w:line="300"/>
      </w:pPr>
      <w:r>
        <w:rPr>
          <w:sz w:val="22"/>
          <w:szCs w:val="22"/>
        </w:rPr>
        <w:t xml:space="preserve"/>
      </w:r>
    </w:p>
    <w:p>
      <w:pPr>
        <w:spacing w:after="160" w:line="300"/>
      </w:pPr>
      <w:r>
        <w:rPr>
          <w:sz w:val="22"/>
          <w:szCs w:val="22"/>
        </w:rPr>
        <w:t xml:space="preserve">En ambientes de tamaño y proporción normal, la diferencia frente a DIALux evo es prácticamente nula.</w:t>
      </w:r>
    </w:p>
    <w:p>
      <w:pPr>
        <w:pStyle w:val="Heading2"/>
        <w:spacing w:after="120" w:before="280"/>
      </w:pPr>
      <w:r>
        <w:rPr>
          <w:b/>
          <w:bCs/>
          <w:color w:val="1F4E79"/>
          <w:sz w:val="24"/>
          <w:szCs w:val="24"/>
        </w:rPr>
        <w:t xml:space="preserve">5.2 Módulo 22 — Caseta de Control y SS.HH (ambientes pequeños, altos, geometría cóncava)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gridCol w:w="100"/>
        <w:gridCol w:w="100"/>
      </w:tblGrid>
      <w:tr>
        <w:trPr>
          <w:tblHeader/>
        </w:trPr>
        <w:tc>
          <w:tcPr>
            <w:shd w:fill="1F4E79" w:val="clear"/>
            <w:tcMar>
              <w:top w:type="dxa" w:w="80"/>
              <w:left w:type="dxa" w:w="100"/>
              <w:bottom w:type="dxa" w:w="80"/>
              <w:right w:type="dxa" w:w="100"/>
            </w:tcMar>
            <w:vAlign w:val="center"/>
          </w:tcPr>
          <w:p>
            <w:pPr>
              <w:jc w:val="center"/>
            </w:pPr>
            <w:r>
              <w:rPr>
                <w:b/>
                <w:bCs/>
                <w:color w:val="FFFFFF"/>
                <w:sz w:val="20"/>
                <w:szCs w:val="20"/>
              </w:rPr>
              <w:t xml:space="preserve">Ambiente</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nuestro motor</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DIALux evo</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Diferencia</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Uo nuestro</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Uo DIALux</w:t>
            </w:r>
          </w:p>
        </w:tc>
      </w:tr>
      <w:tr>
        <w:tc>
          <w:tcPr>
            <w:tcMar>
              <w:top w:type="dxa" w:w="80"/>
              <w:left w:type="dxa" w:w="100"/>
              <w:bottom w:type="dxa" w:w="80"/>
              <w:right w:type="dxa" w:w="100"/>
            </w:tcMar>
            <w:vAlign w:val="center"/>
          </w:tcPr>
          <w:p>
            <w:pPr>
              <w:jc w:val="center"/>
            </w:pPr>
            <w:r>
              <w:rPr>
                <w:b w:val="false"/>
                <w:bCs w:val="false"/>
                <w:sz w:val="20"/>
                <w:szCs w:val="20"/>
              </w:rPr>
              <w:t xml:space="preserve">Caseta de Control</w:t>
            </w:r>
          </w:p>
        </w:tc>
        <w:tc>
          <w:tcPr>
            <w:tcMar>
              <w:top w:type="dxa" w:w="80"/>
              <w:left w:type="dxa" w:w="100"/>
              <w:bottom w:type="dxa" w:w="80"/>
              <w:right w:type="dxa" w:w="100"/>
            </w:tcMar>
            <w:vAlign w:val="center"/>
          </w:tcPr>
          <w:p>
            <w:pPr>
              <w:jc w:val="center"/>
            </w:pPr>
            <w:r>
              <w:rPr>
                <w:b w:val="false"/>
                <w:bCs w:val="false"/>
                <w:sz w:val="20"/>
                <w:szCs w:val="20"/>
              </w:rPr>
              <w:t xml:space="preserve">190.0 lx</w:t>
            </w:r>
          </w:p>
        </w:tc>
        <w:tc>
          <w:tcPr>
            <w:tcMar>
              <w:top w:type="dxa" w:w="80"/>
              <w:left w:type="dxa" w:w="100"/>
              <w:bottom w:type="dxa" w:w="80"/>
              <w:right w:type="dxa" w:w="100"/>
            </w:tcMar>
            <w:vAlign w:val="center"/>
          </w:tcPr>
          <w:p>
            <w:pPr>
              <w:jc w:val="center"/>
            </w:pPr>
            <w:r>
              <w:rPr>
                <w:b w:val="false"/>
                <w:bCs w:val="false"/>
                <w:sz w:val="20"/>
                <w:szCs w:val="20"/>
              </w:rPr>
              <w:t xml:space="preserve">203 lx</w:t>
            </w:r>
          </w:p>
        </w:tc>
        <w:tc>
          <w:tcPr>
            <w:tcMar>
              <w:top w:type="dxa" w:w="80"/>
              <w:left w:type="dxa" w:w="100"/>
              <w:bottom w:type="dxa" w:w="80"/>
              <w:right w:type="dxa" w:w="100"/>
            </w:tcMar>
            <w:vAlign w:val="center"/>
          </w:tcPr>
          <w:p>
            <w:pPr>
              <w:jc w:val="center"/>
            </w:pPr>
            <w:r>
              <w:rPr>
                <w:b w:val="false"/>
                <w:bCs w:val="false"/>
                <w:sz w:val="20"/>
                <w:szCs w:val="20"/>
              </w:rPr>
              <w:t xml:space="preserve">-6.4%</w:t>
            </w:r>
          </w:p>
        </w:tc>
        <w:tc>
          <w:tcPr>
            <w:tcMar>
              <w:top w:type="dxa" w:w="80"/>
              <w:left w:type="dxa" w:w="100"/>
              <w:bottom w:type="dxa" w:w="80"/>
              <w:right w:type="dxa" w:w="100"/>
            </w:tcMar>
            <w:vAlign w:val="center"/>
          </w:tcPr>
          <w:p>
            <w:pPr>
              <w:jc w:val="center"/>
            </w:pPr>
            <w:r>
              <w:rPr>
                <w:b w:val="false"/>
                <w:bCs w:val="false"/>
                <w:sz w:val="20"/>
                <w:szCs w:val="20"/>
              </w:rPr>
              <w:t xml:space="preserve">0.86</w:t>
            </w:r>
          </w:p>
        </w:tc>
        <w:tc>
          <w:tcPr>
            <w:tcMar>
              <w:top w:type="dxa" w:w="80"/>
              <w:left w:type="dxa" w:w="100"/>
              <w:bottom w:type="dxa" w:w="80"/>
              <w:right w:type="dxa" w:w="100"/>
            </w:tcMar>
            <w:vAlign w:val="center"/>
          </w:tcPr>
          <w:p>
            <w:pPr>
              <w:jc w:val="center"/>
            </w:pPr>
            <w:r>
              <w:rPr>
                <w:b w:val="false"/>
                <w:bCs w:val="false"/>
                <w:sz w:val="20"/>
                <w:szCs w:val="20"/>
              </w:rPr>
              <w:t xml:space="preserve">0.87</w:t>
            </w:r>
          </w:p>
        </w:tc>
      </w:tr>
      <w:tr>
        <w:tc>
          <w:tcPr>
            <w:tcMar>
              <w:top w:type="dxa" w:w="80"/>
              <w:left w:type="dxa" w:w="100"/>
              <w:bottom w:type="dxa" w:w="80"/>
              <w:right w:type="dxa" w:w="100"/>
            </w:tcMar>
            <w:vAlign w:val="center"/>
          </w:tcPr>
          <w:p>
            <w:pPr>
              <w:jc w:val="center"/>
            </w:pPr>
            <w:r>
              <w:rPr>
                <w:b w:val="false"/>
                <w:bCs w:val="false"/>
                <w:sz w:val="20"/>
                <w:szCs w:val="20"/>
              </w:rPr>
              <w:t xml:space="preserve">SS.HH</w:t>
            </w:r>
          </w:p>
        </w:tc>
        <w:tc>
          <w:tcPr>
            <w:tcMar>
              <w:top w:type="dxa" w:w="80"/>
              <w:left w:type="dxa" w:w="100"/>
              <w:bottom w:type="dxa" w:w="80"/>
              <w:right w:type="dxa" w:w="100"/>
            </w:tcMar>
            <w:vAlign w:val="center"/>
          </w:tcPr>
          <w:p>
            <w:pPr>
              <w:jc w:val="center"/>
            </w:pPr>
            <w:r>
              <w:rPr>
                <w:b w:val="false"/>
                <w:bCs w:val="false"/>
                <w:sz w:val="20"/>
                <w:szCs w:val="20"/>
              </w:rPr>
              <w:t xml:space="preserve">199.0 lx</w:t>
            </w:r>
          </w:p>
        </w:tc>
        <w:tc>
          <w:tcPr>
            <w:tcMar>
              <w:top w:type="dxa" w:w="80"/>
              <w:left w:type="dxa" w:w="100"/>
              <w:bottom w:type="dxa" w:w="80"/>
              <w:right w:type="dxa" w:w="100"/>
            </w:tcMar>
            <w:vAlign w:val="center"/>
          </w:tcPr>
          <w:p>
            <w:pPr>
              <w:jc w:val="center"/>
            </w:pPr>
            <w:r>
              <w:rPr>
                <w:b w:val="false"/>
                <w:bCs w:val="false"/>
                <w:sz w:val="20"/>
                <w:szCs w:val="20"/>
              </w:rPr>
              <w:t xml:space="preserve">206 lx</w:t>
            </w:r>
          </w:p>
        </w:tc>
        <w:tc>
          <w:tcPr>
            <w:tcMar>
              <w:top w:type="dxa" w:w="80"/>
              <w:left w:type="dxa" w:w="100"/>
              <w:bottom w:type="dxa" w:w="80"/>
              <w:right w:type="dxa" w:w="100"/>
            </w:tcMar>
            <w:vAlign w:val="center"/>
          </w:tcPr>
          <w:p>
            <w:pPr>
              <w:jc w:val="center"/>
            </w:pPr>
            <w:r>
              <w:rPr>
                <w:b w:val="false"/>
                <w:bCs w:val="false"/>
                <w:sz w:val="20"/>
                <w:szCs w:val="20"/>
              </w:rPr>
              <w:t xml:space="preserve">-3.4%</w:t>
            </w:r>
          </w:p>
        </w:tc>
        <w:tc>
          <w:tcPr>
            <w:tcMar>
              <w:top w:type="dxa" w:w="80"/>
              <w:left w:type="dxa" w:w="100"/>
              <w:bottom w:type="dxa" w:w="80"/>
              <w:right w:type="dxa" w:w="100"/>
            </w:tcMar>
            <w:vAlign w:val="center"/>
          </w:tcPr>
          <w:p>
            <w:pPr>
              <w:jc w:val="center"/>
            </w:pPr>
            <w:r>
              <w:rPr>
                <w:b w:val="false"/>
                <w:bCs w:val="false"/>
                <w:sz w:val="20"/>
                <w:szCs w:val="20"/>
              </w:rPr>
              <w:t xml:space="preserve">0.88</w:t>
            </w:r>
          </w:p>
        </w:tc>
        <w:tc>
          <w:tcPr>
            <w:tcMar>
              <w:top w:type="dxa" w:w="80"/>
              <w:left w:type="dxa" w:w="100"/>
              <w:bottom w:type="dxa" w:w="80"/>
              <w:right w:type="dxa" w:w="100"/>
            </w:tcMar>
            <w:vAlign w:val="center"/>
          </w:tcPr>
          <w:p>
            <w:pPr>
              <w:jc w:val="center"/>
            </w:pPr>
            <w:r>
              <w:rPr>
                <w:b w:val="false"/>
                <w:bCs w:val="false"/>
                <w:sz w:val="20"/>
                <w:szCs w:val="20"/>
              </w:rPr>
              <w:t xml:space="preserve">0.88</w:t>
            </w:r>
          </w:p>
        </w:tc>
      </w:tr>
    </w:tbl>
    <w:p>
      <w:pPr>
        <w:spacing w:after="160" w:line="300"/>
      </w:pPr>
      <w:r>
        <w:rPr>
          <w:sz w:val="22"/>
          <w:szCs w:val="22"/>
        </w:rPr>
        <w:t xml:space="preserve"/>
      </w:r>
    </w:p>
    <w:p>
      <w:pPr>
        <w:spacing w:after="160" w:line="300"/>
      </w:pPr>
      <w:r>
        <w:rPr>
          <w:sz w:val="22"/>
          <w:szCs w:val="22"/>
        </w:rPr>
        <w:t xml:space="preserve">Estos dos ambientes tienen mayor diferencia porque combinan tamaño pequeño, altura de montaje elevada respecto a su huella, y una muesca cóncava en el polígono (jamba de puerta) — condiciones donde la interreflexión pesa más y donde, como muestra la sección 6, incluso DIALux evo se aparta de la física real.</w:t>
      </w:r>
    </w:p>
    <w:p>
      <w:pPr>
        <w:pStyle w:val="Heading2"/>
        <w:spacing w:after="120" w:before="280"/>
      </w:pPr>
      <w:r>
        <w:rPr>
          <w:b/>
          <w:bCs/>
          <w:color w:val="1F4E79"/>
          <w:sz w:val="24"/>
          <w:szCs w:val="24"/>
        </w:rPr>
        <w:t xml:space="preserve">5.3 Corrección aplicada — Ronda 32</w:t>
      </w:r>
    </w:p>
    <w:p>
      <w:pPr>
        <w:spacing w:after="160" w:line="300"/>
      </w:pPr>
      <w:r>
        <w:rPr>
          <w:sz w:val="22"/>
          <w:szCs w:val="22"/>
        </w:rPr>
        <w:t xml:space="preserve">Se identificó y corrigió un error real: los parches de piso y techo (que no se subdividen — un solo parche cubre todo el ambiente) muestreaban su "sombra suave" con un semiancho aproximado que, en un polígono cóncavo, caía fuera del ambiente y se auto-ocluía contra sus propias paredes perimetrales, subestimando su propia contribución a la interreflexión.</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gridCol w:w="100"/>
      </w:tblGrid>
      <w:tr>
        <w:trPr>
          <w:tblHeader/>
        </w:trPr>
        <w:tc>
          <w:tcPr>
            <w:shd w:fill="1F4E79" w:val="clear"/>
            <w:tcMar>
              <w:top w:type="dxa" w:w="80"/>
              <w:left w:type="dxa" w:w="100"/>
              <w:bottom w:type="dxa" w:w="80"/>
              <w:right w:type="dxa" w:w="100"/>
            </w:tcMar>
            <w:vAlign w:val="center"/>
          </w:tcPr>
          <w:p>
            <w:pPr>
              <w:jc w:val="center"/>
            </w:pPr>
            <w:r>
              <w:rPr>
                <w:b/>
                <w:bCs/>
                <w:color w:val="FFFFFF"/>
                <w:sz w:val="20"/>
                <w:szCs w:val="20"/>
              </w:rPr>
              <w:t xml:space="preserve">Ambiente</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antes del fix</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después del fix</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Δ antes</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Δ después</w:t>
            </w:r>
          </w:p>
        </w:tc>
      </w:tr>
      <w:tr>
        <w:tc>
          <w:tcPr>
            <w:tcMar>
              <w:top w:type="dxa" w:w="80"/>
              <w:left w:type="dxa" w:w="100"/>
              <w:bottom w:type="dxa" w:w="80"/>
              <w:right w:type="dxa" w:w="100"/>
            </w:tcMar>
            <w:vAlign w:val="center"/>
          </w:tcPr>
          <w:p>
            <w:pPr>
              <w:jc w:val="center"/>
            </w:pPr>
            <w:r>
              <w:rPr>
                <w:b w:val="false"/>
                <w:bCs w:val="false"/>
                <w:sz w:val="20"/>
                <w:szCs w:val="20"/>
              </w:rPr>
              <w:t xml:space="preserve">Caseta de Control</w:t>
            </w:r>
          </w:p>
        </w:tc>
        <w:tc>
          <w:tcPr>
            <w:tcMar>
              <w:top w:type="dxa" w:w="80"/>
              <w:left w:type="dxa" w:w="100"/>
              <w:bottom w:type="dxa" w:w="80"/>
              <w:right w:type="dxa" w:w="100"/>
            </w:tcMar>
            <w:vAlign w:val="center"/>
          </w:tcPr>
          <w:p>
            <w:pPr>
              <w:jc w:val="center"/>
            </w:pPr>
            <w:r>
              <w:rPr>
                <w:b w:val="false"/>
                <w:bCs w:val="false"/>
                <w:sz w:val="20"/>
                <w:szCs w:val="20"/>
              </w:rPr>
              <w:t xml:space="preserve">180.7 lx</w:t>
            </w:r>
          </w:p>
        </w:tc>
        <w:tc>
          <w:tcPr>
            <w:tcMar>
              <w:top w:type="dxa" w:w="80"/>
              <w:left w:type="dxa" w:w="100"/>
              <w:bottom w:type="dxa" w:w="80"/>
              <w:right w:type="dxa" w:w="100"/>
            </w:tcMar>
            <w:vAlign w:val="center"/>
          </w:tcPr>
          <w:p>
            <w:pPr>
              <w:jc w:val="center"/>
            </w:pPr>
            <w:r>
              <w:rPr>
                <w:b w:val="false"/>
                <w:bCs w:val="false"/>
                <w:sz w:val="20"/>
                <w:szCs w:val="20"/>
              </w:rPr>
              <w:t xml:space="preserve">190.0 lx</w:t>
            </w:r>
          </w:p>
        </w:tc>
        <w:tc>
          <w:tcPr>
            <w:tcMar>
              <w:top w:type="dxa" w:w="80"/>
              <w:left w:type="dxa" w:w="100"/>
              <w:bottom w:type="dxa" w:w="80"/>
              <w:right w:type="dxa" w:w="100"/>
            </w:tcMar>
            <w:vAlign w:val="center"/>
          </w:tcPr>
          <w:p>
            <w:pPr>
              <w:jc w:val="center"/>
            </w:pPr>
            <w:r>
              <w:rPr>
                <w:b w:val="false"/>
                <w:bCs w:val="false"/>
                <w:sz w:val="20"/>
                <w:szCs w:val="20"/>
              </w:rPr>
              <w:t xml:space="preserve">-11.0%</w:t>
            </w:r>
          </w:p>
        </w:tc>
        <w:tc>
          <w:tcPr>
            <w:tcMar>
              <w:top w:type="dxa" w:w="80"/>
              <w:left w:type="dxa" w:w="100"/>
              <w:bottom w:type="dxa" w:w="80"/>
              <w:right w:type="dxa" w:w="100"/>
            </w:tcMar>
            <w:vAlign w:val="center"/>
          </w:tcPr>
          <w:p>
            <w:pPr>
              <w:jc w:val="center"/>
            </w:pPr>
            <w:r>
              <w:rPr>
                <w:b w:val="false"/>
                <w:bCs w:val="false"/>
                <w:sz w:val="20"/>
                <w:szCs w:val="20"/>
              </w:rPr>
              <w:t xml:space="preserve">-6.4%</w:t>
            </w:r>
          </w:p>
        </w:tc>
      </w:tr>
      <w:tr>
        <w:tc>
          <w:tcPr>
            <w:tcMar>
              <w:top w:type="dxa" w:w="80"/>
              <w:left w:type="dxa" w:w="100"/>
              <w:bottom w:type="dxa" w:w="80"/>
              <w:right w:type="dxa" w:w="100"/>
            </w:tcMar>
            <w:vAlign w:val="center"/>
          </w:tcPr>
          <w:p>
            <w:pPr>
              <w:jc w:val="center"/>
            </w:pPr>
            <w:r>
              <w:rPr>
                <w:b w:val="false"/>
                <w:bCs w:val="false"/>
                <w:sz w:val="20"/>
                <w:szCs w:val="20"/>
              </w:rPr>
              <w:t xml:space="preserve">SS.HH</w:t>
            </w:r>
          </w:p>
        </w:tc>
        <w:tc>
          <w:tcPr>
            <w:tcMar>
              <w:top w:type="dxa" w:w="80"/>
              <w:left w:type="dxa" w:w="100"/>
              <w:bottom w:type="dxa" w:w="80"/>
              <w:right w:type="dxa" w:w="100"/>
            </w:tcMar>
            <w:vAlign w:val="center"/>
          </w:tcPr>
          <w:p>
            <w:pPr>
              <w:jc w:val="center"/>
            </w:pPr>
            <w:r>
              <w:rPr>
                <w:b w:val="false"/>
                <w:bCs w:val="false"/>
                <w:sz w:val="20"/>
                <w:szCs w:val="20"/>
              </w:rPr>
              <w:t xml:space="preserve">192.7 lx</w:t>
            </w:r>
          </w:p>
        </w:tc>
        <w:tc>
          <w:tcPr>
            <w:tcMar>
              <w:top w:type="dxa" w:w="80"/>
              <w:left w:type="dxa" w:w="100"/>
              <w:bottom w:type="dxa" w:w="80"/>
              <w:right w:type="dxa" w:w="100"/>
            </w:tcMar>
            <w:vAlign w:val="center"/>
          </w:tcPr>
          <w:p>
            <w:pPr>
              <w:jc w:val="center"/>
            </w:pPr>
            <w:r>
              <w:rPr>
                <w:b w:val="false"/>
                <w:bCs w:val="false"/>
                <w:sz w:val="20"/>
                <w:szCs w:val="20"/>
              </w:rPr>
              <w:t xml:space="preserve">199.0 lx</w:t>
            </w:r>
          </w:p>
        </w:tc>
        <w:tc>
          <w:tcPr>
            <w:tcMar>
              <w:top w:type="dxa" w:w="80"/>
              <w:left w:type="dxa" w:w="100"/>
              <w:bottom w:type="dxa" w:w="80"/>
              <w:right w:type="dxa" w:w="100"/>
            </w:tcMar>
            <w:vAlign w:val="center"/>
          </w:tcPr>
          <w:p>
            <w:pPr>
              <w:jc w:val="center"/>
            </w:pPr>
            <w:r>
              <w:rPr>
                <w:b w:val="false"/>
                <w:bCs w:val="false"/>
                <w:sz w:val="20"/>
                <w:szCs w:val="20"/>
              </w:rPr>
              <w:t xml:space="preserve">-6.5%</w:t>
            </w:r>
          </w:p>
        </w:tc>
        <w:tc>
          <w:tcPr>
            <w:tcMar>
              <w:top w:type="dxa" w:w="80"/>
              <w:left w:type="dxa" w:w="100"/>
              <w:bottom w:type="dxa" w:w="80"/>
              <w:right w:type="dxa" w:w="100"/>
            </w:tcMar>
            <w:vAlign w:val="center"/>
          </w:tcPr>
          <w:p>
            <w:pPr>
              <w:jc w:val="center"/>
            </w:pPr>
            <w:r>
              <w:rPr>
                <w:b w:val="false"/>
                <w:bCs w:val="false"/>
                <w:sz w:val="20"/>
                <w:szCs w:val="20"/>
              </w:rPr>
              <w:t xml:space="preserve">-3.4%</w:t>
            </w:r>
          </w:p>
        </w:tc>
      </w:tr>
    </w:tbl>
    <w:p>
      <w:pPr>
        <w:spacing w:after="160" w:line="300"/>
      </w:pPr>
      <w:r>
        <w:rPr>
          <w:sz w:val="22"/>
          <w:szCs w:val="22"/>
        </w:rPr>
        <w:t xml:space="preserve"/>
      </w:r>
    </w:p>
    <w:p>
      <w:pPr>
        <w:spacing w:after="160" w:line="300"/>
      </w:pPr>
      <w:r>
        <w:rPr>
          <w:sz w:val="22"/>
          <w:szCs w:val="22"/>
        </w:rPr>
        <w:t xml:space="preserve">Corrección verificada contra 25/25 pruebas automatizadas de la suite de radiosidad y casos de referencia, sin regresiones, manteniendo la oclusión activa en todo momento.</w:t>
      </w:r>
    </w:p>
    <w:p>
      <w:pPr>
        <w:pStyle w:val="Heading1"/>
        <w:spacing w:after="160" w:before="360"/>
      </w:pPr>
      <w:r>
        <w:rPr>
          <w:b/>
          <w:bCs/>
          <w:color w:val="1F4E79"/>
          <w:sz w:val="30"/>
          <w:szCs w:val="30"/>
        </w:rPr>
        <w:t xml:space="preserve">6. Triangulación con Radiance — referencia física independiente</w:t>
      </w:r>
    </w:p>
    <w:p>
      <w:pPr>
        <w:spacing w:after="160" w:line="300"/>
      </w:pPr>
      <w:r>
        <w:rPr>
          <w:sz w:val="22"/>
          <w:szCs w:val="22"/>
        </w:rPr>
        <w:t xml:space="preserve">Radiance es un motor de simulación lumínica de código abierto desarrollado en Lawrence Berkeley National Laboratory, validado académicamente contra casos analíticos CIE y usado como referencia de exactitud física en la literatura de iluminación. Se usó aquí como tercer punto de comparación, independiente tanto de nuestro motor como de DIALux evo, sobre la geometría real y cóncava de "Caseta de Control" (Módulo 22), con la fotometría real de la luminaria.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shd w:fill="1F4E79" w:val="clear"/>
            <w:tcMar>
              <w:top w:type="dxa" w:w="80"/>
              <w:left w:type="dxa" w:w="100"/>
              <w:bottom w:type="dxa" w:w="80"/>
              <w:right w:type="dxa" w:w="100"/>
            </w:tcMar>
            <w:vAlign w:val="center"/>
          </w:tcPr>
          <w:p>
            <w:pPr>
              <w:jc w:val="center"/>
            </w:pPr>
            <w:r>
              <w:rPr>
                <w:b/>
                <w:bCs/>
                <w:color w:val="FFFFFF"/>
                <w:sz w:val="20"/>
                <w:szCs w:val="20"/>
              </w:rPr>
              <w:t xml:space="preserve">Fuente</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Ē (lx)</w:t>
            </w:r>
          </w:p>
        </w:tc>
        <w:tc>
          <w:tcPr>
            <w:shd w:fill="1F4E79" w:val="clear"/>
            <w:tcMar>
              <w:top w:type="dxa" w:w="80"/>
              <w:left w:type="dxa" w:w="100"/>
              <w:bottom w:type="dxa" w:w="80"/>
              <w:right w:type="dxa" w:w="100"/>
            </w:tcMar>
            <w:vAlign w:val="center"/>
          </w:tcPr>
          <w:p>
            <w:pPr>
              <w:jc w:val="center"/>
            </w:pPr>
            <w:r>
              <w:rPr>
                <w:b/>
                <w:bCs/>
                <w:color w:val="FFFFFF"/>
                <w:sz w:val="20"/>
                <w:szCs w:val="20"/>
              </w:rPr>
              <w:t xml:space="preserve">Diferencia vs. Radiance (física real)</w:t>
            </w:r>
          </w:p>
        </w:tc>
      </w:tr>
      <w:tr>
        <w:tc>
          <w:tcPr>
            <w:tcMar>
              <w:top w:type="dxa" w:w="80"/>
              <w:left w:type="dxa" w:w="100"/>
              <w:bottom w:type="dxa" w:w="80"/>
              <w:right w:type="dxa" w:w="100"/>
            </w:tcMar>
            <w:vAlign w:val="center"/>
          </w:tcPr>
          <w:p>
            <w:pPr>
              <w:jc w:val="center"/>
            </w:pPr>
            <w:r>
              <w:rPr>
                <w:b w:val="false"/>
                <w:bCs w:val="false"/>
                <w:sz w:val="20"/>
                <w:szCs w:val="20"/>
              </w:rPr>
              <w:t xml:space="preserve">Radiance (radiosidad completa)</w:t>
            </w:r>
          </w:p>
        </w:tc>
        <w:tc>
          <w:tcPr>
            <w:tcMar>
              <w:top w:type="dxa" w:w="80"/>
              <w:left w:type="dxa" w:w="100"/>
              <w:bottom w:type="dxa" w:w="80"/>
              <w:right w:type="dxa" w:w="100"/>
            </w:tcMar>
            <w:vAlign w:val="center"/>
          </w:tcPr>
          <w:p>
            <w:pPr>
              <w:jc w:val="center"/>
            </w:pPr>
            <w:r>
              <w:rPr>
                <w:b w:val="false"/>
                <w:bCs w:val="false"/>
                <w:sz w:val="20"/>
                <w:szCs w:val="20"/>
              </w:rPr>
              <w:t xml:space="preserve">251.3</w:t>
            </w:r>
          </w:p>
        </w:tc>
        <w:tc>
          <w:tcPr>
            <w:tcMar>
              <w:top w:type="dxa" w:w="80"/>
              <w:left w:type="dxa" w:w="100"/>
              <w:bottom w:type="dxa" w:w="80"/>
              <w:right w:type="dxa" w:w="100"/>
            </w:tcMar>
            <w:vAlign w:val="center"/>
          </w:tcPr>
          <w:p>
            <w:pPr>
              <w:jc w:val="center"/>
            </w:pPr>
            <w:r>
              <w:rPr>
                <w:b w:val="false"/>
                <w:bCs w:val="false"/>
                <w:sz w:val="20"/>
                <w:szCs w:val="20"/>
              </w:rPr>
              <w:t xml:space="preserve">referencia (0%)</w:t>
            </w:r>
          </w:p>
        </w:tc>
      </w:tr>
      <w:tr>
        <w:tc>
          <w:tcPr>
            <w:tcMar>
              <w:top w:type="dxa" w:w="80"/>
              <w:left w:type="dxa" w:w="100"/>
              <w:bottom w:type="dxa" w:w="80"/>
              <w:right w:type="dxa" w:w="100"/>
            </w:tcMar>
            <w:vAlign w:val="center"/>
          </w:tcPr>
          <w:p>
            <w:pPr>
              <w:jc w:val="center"/>
            </w:pPr>
            <w:r>
              <w:rPr>
                <w:b w:val="false"/>
                <w:bCs w:val="false"/>
                <w:sz w:val="20"/>
                <w:szCs w:val="20"/>
              </w:rPr>
              <w:t xml:space="preserve">Nuestro motor — modo iterativo</w:t>
            </w:r>
          </w:p>
        </w:tc>
        <w:tc>
          <w:tcPr>
            <w:tcMar>
              <w:top w:type="dxa" w:w="80"/>
              <w:left w:type="dxa" w:w="100"/>
              <w:bottom w:type="dxa" w:w="80"/>
              <w:right w:type="dxa" w:w="100"/>
            </w:tcMar>
            <w:vAlign w:val="center"/>
          </w:tcPr>
          <w:p>
            <w:pPr>
              <w:jc w:val="center"/>
            </w:pPr>
            <w:r>
              <w:rPr>
                <w:b/>
                <w:bCs/>
                <w:color w:val="2E7D32"/>
                <w:sz w:val="20"/>
                <w:szCs w:val="20"/>
              </w:rPr>
              <w:t xml:space="preserve">237.5</w:t>
            </w:r>
          </w:p>
        </w:tc>
        <w:tc>
          <w:tcPr>
            <w:tcMar>
              <w:top w:type="dxa" w:w="80"/>
              <w:left w:type="dxa" w:w="100"/>
              <w:bottom w:type="dxa" w:w="80"/>
              <w:right w:type="dxa" w:w="100"/>
            </w:tcMar>
            <w:vAlign w:val="center"/>
          </w:tcPr>
          <w:p>
            <w:pPr>
              <w:jc w:val="center"/>
            </w:pPr>
            <w:r>
              <w:rPr>
                <w:b/>
                <w:bCs/>
                <w:color w:val="2E7D32"/>
                <w:sz w:val="20"/>
                <w:szCs w:val="20"/>
              </w:rPr>
              <w:t xml:space="preserve">-5.5%</w:t>
            </w:r>
          </w:p>
        </w:tc>
      </w:tr>
      <w:tr>
        <w:tc>
          <w:tcPr>
            <w:tcMar>
              <w:top w:type="dxa" w:w="80"/>
              <w:left w:type="dxa" w:w="100"/>
              <w:bottom w:type="dxa" w:w="80"/>
              <w:right w:type="dxa" w:w="100"/>
            </w:tcMar>
            <w:vAlign w:val="center"/>
          </w:tcPr>
          <w:p>
            <w:pPr>
              <w:jc w:val="center"/>
            </w:pPr>
            <w:r>
              <w:rPr>
                <w:b w:val="false"/>
                <w:bCs w:val="false"/>
                <w:sz w:val="20"/>
                <w:szCs w:val="20"/>
              </w:rPr>
              <w:t xml:space="preserve">DIALux evo</w:t>
            </w:r>
          </w:p>
        </w:tc>
        <w:tc>
          <w:tcPr>
            <w:tcMar>
              <w:top w:type="dxa" w:w="80"/>
              <w:left w:type="dxa" w:w="100"/>
              <w:bottom w:type="dxa" w:w="80"/>
              <w:right w:type="dxa" w:w="100"/>
            </w:tcMar>
            <w:vAlign w:val="center"/>
          </w:tcPr>
          <w:p>
            <w:pPr>
              <w:jc w:val="center"/>
            </w:pPr>
            <w:r>
              <w:rPr>
                <w:b w:val="false"/>
                <w:bCs w:val="false"/>
                <w:sz w:val="20"/>
                <w:szCs w:val="20"/>
              </w:rPr>
              <w:t xml:space="preserve">203</w:t>
            </w:r>
          </w:p>
        </w:tc>
        <w:tc>
          <w:tcPr>
            <w:tcMar>
              <w:top w:type="dxa" w:w="80"/>
              <w:left w:type="dxa" w:w="100"/>
              <w:bottom w:type="dxa" w:w="80"/>
              <w:right w:type="dxa" w:w="100"/>
            </w:tcMar>
            <w:vAlign w:val="center"/>
          </w:tcPr>
          <w:p>
            <w:pPr>
              <w:jc w:val="center"/>
            </w:pPr>
            <w:r>
              <w:rPr>
                <w:b w:val="false"/>
                <w:bCs w:val="false"/>
                <w:sz w:val="20"/>
                <w:szCs w:val="20"/>
              </w:rPr>
              <w:t xml:space="preserve">-23.8%</w:t>
            </w:r>
          </w:p>
        </w:tc>
      </w:tr>
      <w:tr>
        <w:tc>
          <w:tcPr>
            <w:tcMar>
              <w:top w:type="dxa" w:w="80"/>
              <w:left w:type="dxa" w:w="100"/>
              <w:bottom w:type="dxa" w:w="80"/>
              <w:right w:type="dxa" w:w="100"/>
            </w:tcMar>
            <w:vAlign w:val="center"/>
          </w:tcPr>
          <w:p>
            <w:pPr>
              <w:jc w:val="center"/>
            </w:pPr>
            <w:r>
              <w:rPr>
                <w:b w:val="false"/>
                <w:bCs w:val="false"/>
                <w:sz w:val="20"/>
                <w:szCs w:val="20"/>
              </w:rPr>
              <w:t xml:space="preserve">Nuestro motor — modo first-bounce (producción)</w:t>
            </w:r>
          </w:p>
        </w:tc>
        <w:tc>
          <w:tcPr>
            <w:tcMar>
              <w:top w:type="dxa" w:w="80"/>
              <w:left w:type="dxa" w:w="100"/>
              <w:bottom w:type="dxa" w:w="80"/>
              <w:right w:type="dxa" w:w="100"/>
            </w:tcMar>
            <w:vAlign w:val="center"/>
          </w:tcPr>
          <w:p>
            <w:pPr>
              <w:jc w:val="center"/>
            </w:pPr>
            <w:r>
              <w:rPr>
                <w:b w:val="false"/>
                <w:bCs w:val="false"/>
                <w:sz w:val="20"/>
                <w:szCs w:val="20"/>
              </w:rPr>
              <w:t xml:space="preserve">199.7</w:t>
            </w:r>
          </w:p>
        </w:tc>
        <w:tc>
          <w:tcPr>
            <w:tcMar>
              <w:top w:type="dxa" w:w="80"/>
              <w:left w:type="dxa" w:w="100"/>
              <w:bottom w:type="dxa" w:w="80"/>
              <w:right w:type="dxa" w:w="100"/>
            </w:tcMar>
            <w:vAlign w:val="center"/>
          </w:tcPr>
          <w:p>
            <w:pPr>
              <w:jc w:val="center"/>
            </w:pPr>
            <w:r>
              <w:rPr>
                <w:b w:val="false"/>
                <w:bCs w:val="false"/>
                <w:sz w:val="20"/>
                <w:szCs w:val="20"/>
              </w:rPr>
              <w:t xml:space="preserve">-20.5%</w:t>
            </w:r>
          </w:p>
        </w:tc>
      </w:tr>
    </w:tbl>
    <w:p>
      <w:pPr>
        <w:spacing w:after="160" w:line="300"/>
      </w:pPr>
      <w:r>
        <w:rPr>
          <w:sz w:val="22"/>
          <w:szCs w:val="22"/>
        </w:rPr>
        <w:t xml:space="preserve"/>
      </w:r>
    </w:p>
    <w:p>
      <w:pPr>
        <w:spacing w:after="160" w:line="300"/>
      </w:pPr>
      <w:r>
        <w:rPr>
          <w:sz w:val="22"/>
          <w:szCs w:val="22"/>
        </w:rPr>
        <w:t xml:space="preserve">Validación del montaje: la luz directa (sin ningún rebote) coincide entre nuestro motor y Radiance con un error de 0.2% (167.7 lx vs. 168.0 lx), confirmando que la escena y la fotometría están construidas correctamente — la diferencia observada es exclusivamente en la interreflexión, no en un error de montaje.</w:t>
      </w:r>
    </w:p>
    <w:p>
      <w:pPr>
        <w:spacing w:after="160" w:line="300"/>
      </w:pPr>
      <w:r>
        <w:rPr>
          <w:b/>
          <w:bCs/>
          <w:sz w:val="22"/>
          <w:szCs w:val="22"/>
        </w:rPr>
        <w:t xml:space="preserve">Hallazgo central: </w:t>
      </w:r>
      <w:r>
        <w:rPr>
          <w:sz w:val="22"/>
          <w:szCs w:val="22"/>
        </w:rPr>
        <w:t xml:space="preserve">DIALux evo subestima la interreflexión física real en este tipo de recinto (alto, angosto, muy reflectante) en un 23.8% frente a la radiosidad física completa. El modo iterativo de nuestro propio motor está más cerca de la física real (-5.5%) que el propio DIALux evo (-23.8%).</w:t>
      </w:r>
    </w:p>
    <w:p>
      <w:pPr>
        <w:spacing w:after="160"/>
        <w:ind w:left="400"/>
      </w:pPr>
      <w:r>
        <w:rPr>
          <w:color w:val="555555"/>
          <w:sz w:val="20"/>
          <w:szCs w:val="20"/>
        </w:rPr>
        <w:t xml:space="preserve">Fuente: Ward, G. J. (1994), "The RADIANCE Lighting Simulation and Rendering System", Proceedings of SIGGRAPH '94, ACM. Software: Lawrence Berkeley National Laboratory, github.com/LBNL-ETA/Radiance.</w:t>
      </w:r>
    </w:p>
    <w:p>
      <w:pPr>
        <w:pStyle w:val="Heading1"/>
        <w:spacing w:after="160" w:before="360"/>
      </w:pPr>
      <w:r>
        <w:rPr>
          <w:b/>
          <w:bCs/>
          <w:color w:val="1F4E79"/>
          <w:sz w:val="30"/>
          <w:szCs w:val="30"/>
        </w:rPr>
        <w:t xml:space="preserve">7. Conclusiones</w:t>
      </w:r>
    </w:p>
    <w:p>
      <w:pPr>
        <w:pStyle w:val="ListParagraph"/>
        <w:numPr>
          <w:ilvl w:val="0"/>
          <w:numId w:val="1"/>
        </w:numPr>
        <w:spacing w:after="100" w:line="280"/>
      </w:pPr>
      <w:r>
        <w:rPr>
          <w:sz w:val="22"/>
          <w:szCs w:val="22"/>
        </w:rPr>
        <w:t xml:space="preserve">La física base de nuestro motor (cálculo punto a punto, ley del inverso del cuadrado) está probada exacta contra el estándar académico CIE 171:2006 — con un margen de error igual o menor que el que el propio fabricante de DIALux evo reportó para su producto.</w:t>
      </w:r>
    </w:p>
    <w:p>
      <w:pPr>
        <w:pStyle w:val="ListParagraph"/>
        <w:numPr>
          <w:ilvl w:val="0"/>
          <w:numId w:val="1"/>
        </w:numPr>
        <w:spacing w:after="100" w:line="280"/>
      </w:pPr>
      <w:r>
        <w:rPr>
          <w:sz w:val="22"/>
          <w:szCs w:val="22"/>
        </w:rPr>
        <w:t xml:space="preserve">En proyectos de geometría regular, la coincidencia con DIALux evo es prácticamente total (-0.4% a +2.3%).</w:t>
      </w:r>
    </w:p>
    <w:p>
      <w:pPr>
        <w:pStyle w:val="ListParagraph"/>
        <w:numPr>
          <w:ilvl w:val="0"/>
          <w:numId w:val="1"/>
        </w:numPr>
        <w:spacing w:after="100" w:line="280"/>
      </w:pPr>
      <w:r>
        <w:rPr>
          <w:sz w:val="22"/>
          <w:szCs w:val="22"/>
        </w:rPr>
        <w:t xml:space="preserve">En ambientes pequeños, altos y de geometría compleja, existía un error real de auto-oclusión, ya identificado, corregido y verificado — reduciendo la brecha a la mitad sin desactivar la oclusión.</w:t>
      </w:r>
    </w:p>
    <w:p>
      <w:pPr>
        <w:pStyle w:val="ListParagraph"/>
        <w:numPr>
          <w:ilvl w:val="0"/>
          <w:numId w:val="1"/>
        </w:numPr>
        <w:spacing w:after="100" w:line="280"/>
      </w:pPr>
      <w:r>
        <w:rPr>
          <w:sz w:val="22"/>
          <w:szCs w:val="22"/>
        </w:rPr>
        <w:t xml:space="preserve">La brecha residual en esos casos no indica que nuestro motor esté equivocado: al triangular con un motor de física completa e independiente (Radiance), se confirma que DIALux evo también se aparta de la física real en esas condiciones, y en mayor medida que nuestro propio motor en modo iterativo.</w:t>
      </w:r>
    </w:p>
    <w:p>
      <w:pPr>
        <w:pStyle w:val="ListParagraph"/>
        <w:numPr>
          <w:ilvl w:val="0"/>
          <w:numId w:val="1"/>
        </w:numPr>
        <w:spacing w:after="100" w:line="280"/>
      </w:pPr>
      <w:r>
        <w:rPr>
          <w:sz w:val="22"/>
          <w:szCs w:val="22"/>
        </w:rPr>
        <w:t xml:space="preserve">Toda cifra presentada en este informe es reproducible: proviene de datos reales de proyecto, pruebas automatizadas versionadas en el repositorio, y estándares académicos citables — no de una estimación ni de una afirmación sin verificar.</w:t>
      </w:r>
    </w:p>
    <w:p>
      <w:pPr>
        <w:pStyle w:val="Heading1"/>
        <w:spacing w:after="160" w:before="360"/>
      </w:pPr>
      <w:r>
        <w:rPr>
          <w:b/>
          <w:bCs/>
          <w:color w:val="1F4E79"/>
          <w:sz w:val="30"/>
          <w:szCs w:val="30"/>
        </w:rPr>
        <w:t xml:space="preserve">8. Referencias</w:t>
      </w:r>
    </w:p>
    <w:p>
      <w:pPr>
        <w:spacing w:after="160"/>
        <w:ind w:left="400"/>
      </w:pPr>
      <w:r>
        <w:rPr>
          <w:color w:val="555555"/>
          <w:sz w:val="20"/>
          <w:szCs w:val="20"/>
        </w:rPr>
        <w:t xml:space="preserve">CIE 171:2006. Test Cases to Assess the Accuracy of Lighting Computer Programs. Commission Internationale de l'Éclairage.</w:t>
      </w:r>
    </w:p>
    <w:p>
      <w:pPr>
        <w:spacing w:after="160"/>
        <w:ind w:left="400"/>
      </w:pPr>
      <w:r>
        <w:rPr>
          <w:color w:val="555555"/>
          <w:sz w:val="20"/>
          <w:szCs w:val="20"/>
        </w:rPr>
        <w:t xml:space="preserve">Mangkuto, R. A. (2015). Validation of DIALux 4.12 and DIALux evo 4.1 against the Analytical Test Cases of CIE 171:2006. LEUKOS, 11(4). DOI: 10.1080/15502724.2015.1061438</w:t>
      </w:r>
    </w:p>
    <w:p>
      <w:pPr>
        <w:spacing w:after="160"/>
        <w:ind w:left="400"/>
      </w:pPr>
      <w:r>
        <w:rPr>
          <w:color w:val="555555"/>
          <w:sz w:val="20"/>
          <w:szCs w:val="20"/>
        </w:rPr>
        <w:t xml:space="preserve">Witzel, D. (DIAL GmbH). DIALux evo – New calculation method.</w:t>
      </w:r>
    </w:p>
    <w:p>
      <w:pPr>
        <w:spacing w:after="160"/>
        <w:ind w:left="400"/>
      </w:pPr>
      <w:r>
        <w:rPr>
          <w:color w:val="555555"/>
          <w:sz w:val="20"/>
          <w:szCs w:val="20"/>
        </w:rPr>
        <w:t xml:space="preserve">Hemmerling, M.; Seegers, M.; Witzel, D. (2023). Calculation of energy saving potential for lighting with DIALux evo. Energy and Buildings.</w:t>
      </w:r>
    </w:p>
    <w:p>
      <w:pPr>
        <w:spacing w:after="160"/>
        <w:ind w:left="400"/>
      </w:pPr>
      <w:r>
        <w:rPr>
          <w:color w:val="555555"/>
          <w:sz w:val="20"/>
          <w:szCs w:val="20"/>
        </w:rPr>
        <w:t xml:space="preserve">Ward, G. J. (1994). The RADIANCE Lighting Simulation and Rendering System. Proceedings of SIGGRAPH '94, ACM, pp. 459-472.</w:t>
      </w:r>
    </w:p>
    <w:p>
      <w:pPr>
        <w:spacing w:after="160"/>
        <w:ind w:left="400"/>
      </w:pPr>
      <w:r>
        <w:rPr>
          <w:color w:val="555555"/>
          <w:sz w:val="20"/>
          <w:szCs w:val="20"/>
        </w:rPr>
        <w:t xml:space="preserve">EN 12464-1:2021. Light and lighting — Lighting of work places — Part 1: Indoor work places.</w:t>
      </w:r>
    </w:p>
    <w:p>
      <w:pPr>
        <w:spacing w:after="160"/>
        <w:ind w:left="400"/>
      </w:pPr>
      <w:r>
        <w:rPr>
          <w:color w:val="555555"/>
          <w:sz w:val="20"/>
          <w:szCs w:val="20"/>
        </w:rPr>
        <w:t xml:space="preserve">CIE 117:1995. Discomfort Glare in Interior Lighting.</w:t>
      </w:r>
    </w:p>
    <w:p>
      <w:pPr>
        <w:spacing w:after="160"/>
        <w:ind w:left="400"/>
      </w:pPr>
      <w:r>
        <w:rPr>
          <w:color w:val="555555"/>
          <w:sz w:val="20"/>
          <w:szCs w:val="20"/>
        </w:rPr>
        <w:t xml:space="preserve">CIE 97:2005. Guide on the Maintenance of Indoor Electric Lighting Systems and Their Environmental Effects.</w:t>
      </w:r>
    </w:p>
    <w:p>
      <w:pPr>
        <w:spacing w:after="160"/>
        <w:ind w:left="400"/>
      </w:pPr>
      <w:r>
        <w:rPr>
          <w:color w:val="555555"/>
          <w:sz w:val="20"/>
          <w:szCs w:val="20"/>
        </w:rPr>
        <w:t xml:space="preserve">Cohen, M. F.; Wallace, J. R. (1993). Radiosity and Realistic Image Synthesis. Academic Press Professional.</w:t>
      </w:r>
    </w:p>
    <w:p>
      <w:pPr>
        <w:spacing w:after="160"/>
        <w:ind w:left="400"/>
      </w:pPr>
      <w:r>
        <w:rPr>
          <w:color w:val="555555"/>
          <w:sz w:val="20"/>
          <w:szCs w:val="20"/>
        </w:rPr>
        <w:t xml:space="preserve">Sillion, F. X.; Puech, C. (1994). Radiosity &amp; Global Illumination. Morgan Kaufmann Publishers.</w:t>
      </w:r>
    </w:p>
    <w:p>
      <w:pPr>
        <w:spacing w:after="160"/>
        <w:ind w:left="400"/>
      </w:pPr>
      <w:r>
        <w:rPr>
          <w:color w:val="555555"/>
          <w:sz w:val="20"/>
          <w:szCs w:val="20"/>
        </w:rPr>
        <w:t xml:space="preserve">IESNA Lighting Handbook, 10.ª edición. Illuminating Engineering Society of North America.</w:t>
      </w:r>
    </w:p>
    <w:p>
      <w:pPr>
        <w:spacing w:after="160"/>
        <w:ind w:left="400"/>
      </w:pPr>
      <w:r>
        <w:rPr>
          <w:color w:val="555555"/>
          <w:sz w:val="20"/>
          <w:szCs w:val="20"/>
        </w:rPr>
        <w:t xml:space="preserve">CIBSE Code for Lighting. Chartered Institution of Building Services Engineers.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2026-08-25T21:22:56.039Z</dcterms:created>
  <dcterms:modified xsi:type="dcterms:W3CDTF">2026-08-25T21:22:56.039Z</dcterms:modified>
</cp:coreProperties>
</file>

<file path=docProps/custom.xml><?xml version="1.0" encoding="utf-8"?>
<Properties xmlns="http://schemas.openxmlformats.org/officeDocument/2006/custom-properties" xmlns:vt="http://schemas.openxmlformats.org/officeDocument/2006/docPropsVTypes"/>
</file>