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ptos" w:hAnsi="Aptos"/>
          <w:b/>
          <w:color w:val="007880"/>
          <w:sz w:val="14"/>
        </w:rPr>
        <w:t>FRESHCTX  /  CONCEPT BRIEF</w:t>
      </w:r>
    </w:p>
    <w:p>
      <w:pPr>
        <w:spacing w:before="0" w:after="20"/>
      </w:pPr>
      <w:r>
        <w:rPr>
          <w:rFonts w:ascii="Aptos Display" w:hAnsi="Aptos Display"/>
          <w:b/>
          <w:color w:val="141F2D"/>
          <w:sz w:val="50"/>
        </w:rPr>
        <w:t>FreshCtx</w:t>
      </w:r>
    </w:p>
    <w:p>
      <w:pPr>
        <w:spacing w:after="100"/>
      </w:pPr>
      <w:r>
        <w:t>Don't let AI agents act on stale reasoning.</w:t>
      </w:r>
    </w:p>
    <w:tbl>
      <w:tblPr>
        <w:tblW w:type="auto" w:w="0"/>
        <w:jc w:val="center"/>
        <w:tblLayout w:type="fixed"/>
        <w:tblLook w:firstColumn="1" w:firstRow="1" w:lastColumn="0" w:lastRow="0" w:noHBand="0" w:noVBand="1" w:val="04A0"/>
        <w:tblBorders>
          <w:top w:val="single" w:sz="5" w:color="D8E1EA"/>
          <w:left w:val="single" w:sz="5" w:color="D8E1EA"/>
          <w:bottom w:val="single" w:sz="5" w:color="D8E1EA"/>
          <w:right w:val="single" w:sz="5" w:color="D8E1EA"/>
          <w:insideH w:val="single" w:sz="5" w:color="D8E1EA"/>
          <w:insideV w:val="single" w:sz="5" w:color="D8E1EA"/>
        </w:tblBorders>
      </w:tblPr>
      <w:tblGrid>
        <w:gridCol w:w="10282"/>
      </w:tblGrid>
      <w:tr>
        <w:tc>
          <w:tcPr>
            <w:tcW w:type="dxa" w:w="10282"/>
            <w:shd w:fill="F2F6FA"/>
            <w:tcMar>
              <w:top w:w="100" w:type="dxa"/>
              <w:start w:w="150" w:type="dxa"/>
              <w:bottom w:w="100" w:type="dxa"/>
              <w:end w:w="150" w:type="dxa"/>
            </w:tcMar>
          </w:tcPr>
          <w:p>
            <w:pPr>
              <w:spacing w:after="0"/>
            </w:pPr>
            <w:r>
              <w:t>Purpose  A runtime freshness guard that revalidates declared evidence and invalidates affected reasoning before an AI-supported action executes.</w:t>
            </w:r>
          </w:p>
        </w:tc>
      </w:tr>
    </w:tbl>
    <w:p>
      <w:pPr>
        <w:pStyle w:val="Heading1"/>
      </w:pPr>
      <w:r>
        <w:t>The problem</w:t>
      </w:r>
    </w:p>
    <w:p>
      <w:pPr>
        <w:keepNext w:val="0"/>
        <w:spacing w:after="40"/>
      </w:pPr>
      <w:r>
        <w:t>Source staleness occurs when the underlying reality changes after an agent reads it—for example, a file is edited, a Git branch advances, an API response expires, or a database row changes.</w:t>
      </w:r>
    </w:p>
    <w:p>
      <w:pPr>
        <w:keepNext w:val="0"/>
        <w:spacing w:after="40"/>
      </w:pPr>
      <w:r>
        <w:t>Reasoning staleness occurs when an inference remains cached or reused even though an upstream observation has changed. The source may be fresh now, but the conclusion was produced from an older version.</w:t>
      </w:r>
    </w:p>
    <w:p>
      <w:pPr>
        <w:pStyle w:val="Heading1"/>
      </w:pPr>
      <w:r>
        <w:t>Core mechanism</w:t>
      </w:r>
    </w:p>
    <w:p>
      <w:pPr>
        <w:spacing w:after="40"/>
        <w:jc w:val="center"/>
      </w:pPr>
      <w:r>
        <w:rPr>
          <w:rFonts w:ascii="Aptos Mono" w:hAnsi="Aptos Mono"/>
          <w:b/>
          <w:color w:val="141F2D"/>
          <w:sz w:val="18"/>
        </w:rPr>
        <w:t>source  →  ObservationToken  →  ReasoningNode  →  action / output</w:t>
      </w:r>
    </w:p>
    <w:p>
      <w:pPr>
        <w:keepNext w:val="0"/>
        <w:spacing w:after="40"/>
      </w:pPr>
      <w:r>
        <w:t>FreshCtx fingerprints declared evidence, links dependent reasoning to those observations, and revalidates reachable dependencies immediately before a protected action or output.</w:t>
      </w:r>
    </w:p>
    <w:p>
      <w:pPr>
        <w:keepNext w:val="0"/>
        <w:spacing w:after="40"/>
      </w:pPr>
      <w:r>
        <w:t>Policies determine whether stale or unverifiable work is blocked, refreshed, surfaced as a warning, or explicitly allowed.</w:t>
      </w:r>
    </w:p>
    <w:p>
      <w:pPr>
        <w:pStyle w:val="Heading1"/>
      </w:pPr>
      <w:r>
        <w:t>Freshness states</w:t>
      </w:r>
    </w:p>
    <w:tbl>
      <w:tblPr>
        <w:tblW w:type="auto" w:w="0"/>
        <w:jc w:val="center"/>
        <w:tblLayout w:type="fixed"/>
        <w:tblLook w:firstColumn="1" w:firstRow="1" w:lastColumn="0" w:lastRow="0" w:noHBand="0" w:noVBand="1" w:val="04A0"/>
        <w:tblBorders>
          <w:top w:val="single" w:sz="5" w:color="D8E1EA"/>
          <w:left w:val="single" w:sz="5" w:color="D8E1EA"/>
          <w:bottom w:val="single" w:sz="5" w:color="D8E1EA"/>
          <w:right w:val="single" w:sz="5" w:color="D8E1EA"/>
          <w:insideH w:val="single" w:sz="5" w:color="D8E1EA"/>
          <w:insideV w:val="single" w:sz="5" w:color="D8E1EA"/>
        </w:tblBorders>
      </w:tblPr>
      <w:tblGrid>
        <w:gridCol w:w="2570"/>
        <w:gridCol w:w="2570"/>
        <w:gridCol w:w="2570"/>
        <w:gridCol w:w="2570"/>
      </w:tblGrid>
      <w:tr>
        <w:tc>
          <w:tcPr>
            <w:tcW w:type="dxa" w:w="2570"/>
            <w:tcMar>
              <w:top w:w="65" w:type="dxa"/>
              <w:start w:w="80" w:type="dxa"/>
              <w:bottom w:w="65" w:type="dxa"/>
              <w:end w:w="80" w:type="dxa"/>
            </w:tcMar>
            <w:vAlign w:val="center"/>
            <w:shd w:fill="E7EFF8"/>
          </w:tcPr>
          <w:p>
            <w:pPr>
              <w:spacing w:after="0"/>
              <w:jc w:val="center"/>
            </w:pPr>
            <w:r>
              <w:rPr>
                <w:b/>
                <w:color w:val="145DA0"/>
                <w:sz w:val="15"/>
              </w:rPr>
              <w:t>CURRENT</w:t>
            </w:r>
          </w:p>
        </w:tc>
        <w:tc>
          <w:tcPr>
            <w:tcW w:type="dxa" w:w="2570"/>
            <w:tcMar>
              <w:top w:w="65" w:type="dxa"/>
              <w:start w:w="80" w:type="dxa"/>
              <w:bottom w:w="65" w:type="dxa"/>
              <w:end w:w="80" w:type="dxa"/>
            </w:tcMar>
            <w:vAlign w:val="center"/>
            <w:shd w:fill="E7EFF8"/>
          </w:tcPr>
          <w:p>
            <w:pPr>
              <w:spacing w:after="0"/>
              <w:jc w:val="center"/>
            </w:pPr>
            <w:r>
              <w:rPr>
                <w:b/>
                <w:color w:val="145DA0"/>
                <w:sz w:val="15"/>
              </w:rPr>
              <w:t>STALE_SOURCE</w:t>
            </w:r>
          </w:p>
        </w:tc>
        <w:tc>
          <w:tcPr>
            <w:tcW w:type="dxa" w:w="2570"/>
            <w:tcMar>
              <w:top w:w="65" w:type="dxa"/>
              <w:start w:w="80" w:type="dxa"/>
              <w:bottom w:w="65" w:type="dxa"/>
              <w:end w:w="80" w:type="dxa"/>
            </w:tcMar>
            <w:vAlign w:val="center"/>
            <w:shd w:fill="E7EFF8"/>
          </w:tcPr>
          <w:p>
            <w:pPr>
              <w:spacing w:after="0"/>
              <w:jc w:val="center"/>
            </w:pPr>
            <w:r>
              <w:rPr>
                <w:b/>
                <w:color w:val="145DA0"/>
                <w:sz w:val="15"/>
              </w:rPr>
              <w:t>STALE_REASONING</w:t>
            </w:r>
          </w:p>
        </w:tc>
        <w:tc>
          <w:tcPr>
            <w:tcW w:type="dxa" w:w="2570"/>
            <w:tcMar>
              <w:top w:w="65" w:type="dxa"/>
              <w:start w:w="80" w:type="dxa"/>
              <w:bottom w:w="65" w:type="dxa"/>
              <w:end w:w="80" w:type="dxa"/>
            </w:tcMar>
            <w:vAlign w:val="center"/>
            <w:shd w:fill="E7EFF8"/>
          </w:tcPr>
          <w:p>
            <w:pPr>
              <w:spacing w:after="0"/>
              <w:jc w:val="center"/>
            </w:pPr>
            <w:r>
              <w:rPr>
                <w:b/>
                <w:color w:val="145DA0"/>
                <w:sz w:val="15"/>
              </w:rPr>
              <w:t>UNVERIFIABLE</w:t>
            </w:r>
          </w:p>
        </w:tc>
      </w:tr>
      <w:tr>
        <w:tc>
          <w:tcPr>
            <w:tcW w:type="dxa" w:w="2570"/>
            <w:tcMar>
              <w:top w:w="65" w:type="dxa"/>
              <w:start w:w="80" w:type="dxa"/>
              <w:bottom w:w="65" w:type="dxa"/>
              <w:end w:w="80" w:type="dxa"/>
            </w:tcMar>
            <w:vAlign w:val="center"/>
          </w:tcPr>
          <w:p>
            <w:r>
              <w:t>All reachable declared dependencies revalidated as equivalent at check time.</w:t>
            </w:r>
          </w:p>
        </w:tc>
        <w:tc>
          <w:tcPr>
            <w:tcW w:type="dxa" w:w="2570"/>
            <w:tcMar>
              <w:top w:w="65" w:type="dxa"/>
              <w:start w:w="80" w:type="dxa"/>
              <w:bottom w:w="65" w:type="dxa"/>
              <w:end w:w="80" w:type="dxa"/>
            </w:tcMar>
            <w:vAlign w:val="center"/>
          </w:tcPr>
          <w:p>
            <w:pPr>
              <w:spacing w:after="0"/>
              <w:jc w:val="center"/>
            </w:pPr>
            <w:r>
              <w:rPr>
                <w:sz w:val="14"/>
              </w:rPr>
              <w:t>An observed source has changed.</w:t>
            </w:r>
          </w:p>
        </w:tc>
        <w:tc>
          <w:tcPr>
            <w:tcW w:type="dxa" w:w="2570"/>
            <w:tcMar>
              <w:top w:w="65" w:type="dxa"/>
              <w:start w:w="80" w:type="dxa"/>
              <w:bottom w:w="65" w:type="dxa"/>
              <w:end w:w="80" w:type="dxa"/>
            </w:tcMar>
            <w:vAlign w:val="center"/>
          </w:tcPr>
          <w:p>
            <w:pPr>
              <w:spacing w:after="0"/>
              <w:jc w:val="center"/>
            </w:pPr>
            <w:r>
              <w:rPr>
                <w:sz w:val="14"/>
              </w:rPr>
              <w:t>A conclusion depends on changed input.</w:t>
            </w:r>
          </w:p>
        </w:tc>
        <w:tc>
          <w:tcPr>
            <w:tcW w:type="dxa" w:w="2570"/>
            <w:tcMar>
              <w:top w:w="65" w:type="dxa"/>
              <w:start w:w="80" w:type="dxa"/>
              <w:bottom w:w="65" w:type="dxa"/>
              <w:end w:w="80" w:type="dxa"/>
            </w:tcMar>
            <w:vAlign w:val="center"/>
          </w:tcPr>
          <w:p>
            <w:pPr>
              <w:spacing w:after="0"/>
              <w:jc w:val="center"/>
            </w:pPr>
            <w:r>
              <w:rPr>
                <w:sz w:val="14"/>
              </w:rPr>
              <w:t>Freshness cannot be established.</w:t>
            </w:r>
          </w:p>
        </w:tc>
      </w:tr>
    </w:tbl>
    <w:p>
      <w:pPr>
        <w:pStyle w:val="Heading1"/>
      </w:pPr>
      <w:r>
        <w:t>Audit example</w:t>
      </w:r>
    </w:p>
    <w:p>
      <w:pPr>
        <w:keepNext w:val="0"/>
        <w:spacing w:after="40"/>
      </w:pPr>
      <w:r>
        <w:t>Agent reads config.yaml at Git commit a13f… → creates ObservationToken obs_42 → derives ReasoningNode rn_8 (“deploy to staging”) → main advances to b77c… → pre-action check returns STALE_SOURCE; rn_8 becomes STALE_REASONING; deployment is blocked and the agent is prompted to reread and recompute.</w:t>
      </w:r>
    </w:p>
    <w:p>
      <w:pPr>
        <w:pStyle w:val="Heading1"/>
      </w:pPr>
      <w:r>
        <w:t>Developer experience</w:t>
      </w:r>
    </w:p>
    <w:tbl>
      <w:tblPr>
        <w:tblW w:type="auto" w:w="0"/>
        <w:jc w:val="center"/>
        <w:tblLayout w:type="fixed"/>
        <w:tblLook w:firstColumn="1" w:firstRow="1" w:lastColumn="0" w:lastRow="0" w:noHBand="0" w:noVBand="1" w:val="04A0"/>
        <w:tblBorders>
          <w:top w:val="single" w:sz="5" w:color="D8E1EA"/>
          <w:left w:val="single" w:sz="5" w:color="D8E1EA"/>
          <w:bottom w:val="single" w:sz="5" w:color="D8E1EA"/>
          <w:right w:val="single" w:sz="5" w:color="D8E1EA"/>
          <w:insideH w:val="single" w:sz="5" w:color="D8E1EA"/>
          <w:insideV w:val="single" w:sz="5" w:color="D8E1EA"/>
        </w:tblBorders>
      </w:tblPr>
      <w:tblGrid>
        <w:gridCol w:w="10282"/>
      </w:tblGrid>
      <w:tr>
        <w:tc>
          <w:tcPr>
            <w:tcW w:type="dxa" w:w="10282"/>
            <w:shd w:fill="F6F8FA"/>
            <w:tcMar>
              <w:top w:w="75" w:type="dxa"/>
              <w:start w:w="130" w:type="dxa"/>
              <w:bottom w:w="75" w:type="dxa"/>
              <w:end w:w="130" w:type="dxa"/>
            </w:tcMar>
          </w:tcPr>
          <w:p>
            <w:pPr>
              <w:spacing w:after="0"/>
            </w:pPr>
            <w:r>
              <w:rPr>
                <w:rFonts w:ascii="Aptos Mono" w:hAnsi="Aptos Mono"/>
                <w:color w:val="141F2D"/>
                <w:sz w:val="16"/>
              </w:rPr>
              <w:t>from freshctx import guard</w:t>
              <w:br/>
              <w:br/>
              <w:t>with guard():</w:t>
              <w:br/>
              <w:t xml:space="preserve">    agent.run(task)</w:t>
            </w:r>
          </w:p>
        </w:tc>
      </w:tr>
    </w:tbl>
    <w:p>
      <w:pPr>
        <w:pStyle w:val="Heading1"/>
      </w:pPr>
      <w:r>
        <w:t>v0.1 scope</w:t>
      </w:r>
    </w:p>
    <w:p>
      <w:pPr>
        <w:keepNext w:val="0"/>
        <w:spacing w:after="30"/>
      </w:pPr>
      <w:r>
        <w:t>Instrumentation and validators for filesystem, Git, HTTP, Postgres, and MCP—with a common token model, dependency graph, policy hooks, and human-readable audit trail.</w:t>
      </w:r>
    </w:p>
    <w:p>
      <w:pPr>
        <w:pStyle w:val="Heading1"/>
      </w:pPr>
      <w:r>
        <w:t>Non-goals</w:t>
      </w:r>
    </w:p>
    <w:p>
      <w:pPr>
        <w:pStyle w:val="ListBullet"/>
        <w:spacing w:after="22" w:line="240" w:lineRule="auto"/>
        <w:ind w:left="288" w:hanging="173"/>
      </w:pPr>
      <w:r>
        <w:t>Not an agent framework, memory store, authorization system, or source-of-truth database.</w:t>
      </w:r>
    </w:p>
    <w:p>
      <w:pPr>
        <w:pStyle w:val="ListBullet"/>
        <w:spacing w:after="22" w:line="240" w:lineRule="auto"/>
        <w:ind w:left="288" w:hanging="173"/>
      </w:pPr>
      <w:r>
        <w:t>CURRENT proves only configured-adapter equivalence for reachable declared dependencies at check time. It does not prove truth, logical correctness, authorization, safety, compliance, or global reality.</w:t>
      </w:r>
    </w:p>
    <w:p>
      <w:pPr>
        <w:pStyle w:val="Heading1"/>
      </w:pPr>
      <w:r>
        <w:t>Open-source posture &amp; differentiation</w:t>
      </w:r>
    </w:p>
    <w:p>
      <w:pPr>
        <w:keepNext w:val="0"/>
        <w:spacing w:after="40"/>
      </w:pPr>
      <w:r>
        <w:t>Owned and stewarded by Hyperwise LLC; Apache-2.0; model- and framework-neutral; local-first; no account or telemetry required. FreshCtx validates heterogeneous declared sources without centralizing application state.</w:t>
      </w:r>
    </w:p>
    <w:tbl>
      <w:tblPr>
        <w:tblW w:type="auto" w:w="0"/>
        <w:jc w:val="center"/>
        <w:tblLayout w:type="fixed"/>
        <w:tblLook w:firstColumn="1" w:firstRow="1" w:lastColumn="0" w:lastRow="0" w:noHBand="0" w:noVBand="1" w:val="04A0"/>
        <w:tblBorders>
          <w:top w:val="single" w:sz="6" w:color="B9DCDA"/>
          <w:left w:val="single" w:sz="6" w:color="B9DCDA"/>
          <w:bottom w:val="single" w:sz="6" w:color="B9DCDA"/>
          <w:right w:val="single" w:sz="6" w:color="B9DCDA"/>
          <w:insideH w:val="single" w:sz="6" w:color="B9DCDA"/>
          <w:insideV w:val="single" w:sz="6" w:color="B9DCDA"/>
        </w:tblBorders>
      </w:tblPr>
      <w:tblGrid>
        <w:gridCol w:w="10282"/>
      </w:tblGrid>
      <w:tr>
        <w:tc>
          <w:tcPr>
            <w:tcW w:type="dxa" w:w="10282"/>
            <w:shd w:fill="EAF5F4"/>
            <w:tcMar>
              <w:top w:w="95" w:type="dxa"/>
              <w:start w:w="145" w:type="dxa"/>
              <w:bottom w:w="95" w:type="dxa"/>
              <w:end w:w="145" w:type="dxa"/>
            </w:tcMar>
          </w:tcPr>
          <w:p>
            <w:pPr>
              <w:spacing w:after="0"/>
            </w:pPr>
            <w:r>
              <w:t>Category  FreshCtx is dependency validation and reasoning-drift control, not memory, context capture, session restoration, or model portability.</w:t>
            </w:r>
          </w:p>
        </w:tc>
      </w:tr>
    </w:tbl>
    <w:sectPr w:rsidR="00FC693F" w:rsidRPr="0006063C" w:rsidSect="00034616">
      <w:footerReference w:type="default" r:id="rId9"/>
      <w:pgSz w:w="12240" w:h="15840"/>
      <w:pgMar w:top="749" w:right="979" w:bottom="691"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ptos" w:hAnsi="Aptos"/>
        <w:color w:val="576370"/>
        <w:sz w:val="14"/>
      </w:rPr>
      <w:t>FreshCtx  •  Base concept artifact  •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5" w:lineRule="auto"/>
    </w:pPr>
    <w:rPr>
      <w:rFonts w:ascii="Aptos" w:hAnsi="Aptos"/>
      <w:color w:val="141F2D"/>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ptos Display" w:hAnsi="Aptos Display"/>
      <w:b/>
      <w:bCs/>
      <w:color w:val="145DA0"/>
      <w:sz w:val="21"/>
      <w:szCs w:val="28"/>
    </w:rPr>
  </w:style>
  <w:style w:type="paragraph" w:styleId="Heading2">
    <w:name w:val="heading 2"/>
    <w:basedOn w:val="Normal"/>
    <w:next w:val="Normal"/>
    <w:link w:val="Heading2Char"/>
    <w:uiPriority w:val="9"/>
    <w:unhideWhenUsed/>
    <w:qFormat/>
    <w:rsid w:val="00FC693F"/>
    <w:pPr>
      <w:keepNext/>
      <w:keepLines/>
      <w:spacing w:before="60" w:after="30"/>
      <w:outlineLvl w:val="1"/>
    </w:pPr>
    <w:rPr>
      <w:rFonts w:asciiTheme="majorHAnsi" w:eastAsiaTheme="majorEastAsia" w:hAnsiTheme="majorHAnsi" w:cstheme="majorBidi" w:ascii="Aptos Display" w:hAnsi="Aptos Display"/>
      <w:b/>
      <w:bCs/>
      <w:color w:val="145DA0"/>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FreshCtx — One-Page Concept Brief</dc:title>
  <dc:subject>Base artifact for continued FreshCtx product work</dc:subject>
  <dc:creator>python-docx</dc:creator>
  <cp:keywords>FreshCtx, AI agents, freshness, stale reasoning, open source</cp:keywords>
  <dc:description>generated by python-docx</dc:description>
  <cp:lastModifiedBy/>
  <cp:revision>1</cp:revision>
  <dcterms:created xsi:type="dcterms:W3CDTF">2013-12-23T23:15:00Z</dcterms:created>
  <dcterms:modified xsi:type="dcterms:W3CDTF">2013-12-23T23:15:00Z</dcterms:modified>
  <cp:category/>
</cp:coreProperties>
</file>