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3263C"/>
          <w:sz w:val="50"/>
        </w:rPr>
        <w:t>FreshCtx</w:t>
      </w:r>
    </w:p>
    <w:p>
      <w:pPr>
        <w:spacing w:after="160"/>
      </w:pPr>
      <w:r>
        <w:rPr>
          <w:b/>
          <w:color w:val="2369A5"/>
          <w:sz w:val="28"/>
        </w:rPr>
        <w:t>v0.1 Technical Specification</w:t>
      </w:r>
    </w:p>
    <w:p>
      <w:pPr>
        <w:spacing w:after="120"/>
      </w:pPr>
      <w:r>
        <w:t>Status: supporting release brief; SPEC.md is normative  |  License: Apache-2.0  |  Runtime: Python 3.10-3.13</w:t>
      </w:r>
    </w:p>
    <w:p>
      <w:pPr>
        <w:pStyle w:val="Heading1"/>
      </w:pPr>
      <w:r>
        <w:t>1. Purpose and normative language</w:t>
      </w:r>
    </w:p>
    <w:p>
      <w:pPr>
        <w:spacing w:after="60"/>
      </w:pPr>
      <w:r>
        <w:t>FreshCtx is a runtime freshness guard that revalidates declared evidence and invalidates affected reasoning before an AI-supported action executes.</w:t>
      </w:r>
    </w:p>
    <w:p>
      <w:pPr>
        <w:spacing w:after="60"/>
      </w:pPr>
      <w:r>
        <w:t>The terms MUST, MUST NOT, SHOULD, SHOULD NOT, and MAY are normative. A conforming v0.1 implementation MUST satisfy every MUST and the acceptance tests in Section 11.</w:t>
      </w:r>
    </w:p>
    <w:p>
      <w:pPr>
        <w:pStyle w:val="Heading1"/>
      </w:pPr>
      <w:r>
        <w:t>2. v0.1 scope</w:t>
      </w:r>
    </w:p>
    <w:p>
      <w:pPr>
        <w:pStyle w:val="ListBullet"/>
      </w:pPr>
      <w:r>
        <w:t>Python package with filesystem, Git, HTTP, Postgres, and MCP adapters.</w:t>
      </w:r>
    </w:p>
    <w:p>
      <w:pPr>
        <w:pStyle w:val="ListBullet"/>
      </w:pPr>
      <w:r>
        <w:t>Local-first storage, dependency graph, freshness evaluator, policy engine, and JSONL audit log.</w:t>
      </w:r>
    </w:p>
    <w:p>
      <w:pPr>
        <w:pStyle w:val="ListBullet"/>
      </w:pPr>
      <w:r>
        <w:t>Framework-neutral guard context for synchronous protected actions. Asynchronous guard support is outside v0.1.</w:t>
      </w:r>
    </w:p>
    <w:p>
      <w:pPr>
        <w:pStyle w:val="ListBullet"/>
      </w:pPr>
      <w:r>
        <w:t>No hosted control plane, account, telemetry, model dependency, or mandatory network service.</w:t>
      </w:r>
    </w:p>
    <w:p>
      <w:pPr>
        <w:pStyle w:val="Heading1"/>
      </w:pPr>
      <w:r>
        <w:t>3. System invariants</w:t>
      </w:r>
    </w:p>
    <w:p>
      <w:pPr>
        <w:numPr>
          <w:ilvl w:val="0"/>
          <w:numId w:val="10"/>
        </w:numPr>
        <w:spacing w:after="30" w:line="247" w:lineRule="auto"/>
      </w:pPr>
      <w:r>
        <w:t>Every protected observation MUST have a stable ObservationToken containing enough adapter-owned evidence to revalidate it.</w:t>
      </w:r>
    </w:p>
    <w:p>
      <w:pPr>
        <w:numPr>
          <w:ilvl w:val="0"/>
          <w:numId w:val="10"/>
        </w:numPr>
        <w:spacing w:after="30" w:line="247" w:lineRule="auto"/>
      </w:pPr>
      <w:r>
        <w:t>Every protected conclusion MUST be represented by a ReasoningNode linked to all observations and reasoning nodes that materially support it.</w:t>
      </w:r>
    </w:p>
    <w:p>
      <w:pPr>
        <w:numPr>
          <w:ilvl w:val="0"/>
          <w:numId w:val="10"/>
        </w:numPr>
        <w:spacing w:after="30" w:line="247" w:lineRule="auto"/>
      </w:pPr>
      <w:r>
        <w:t>A protected action or output MUST be evaluated immediately before commit, send, write, execute, or return.</w:t>
      </w:r>
    </w:p>
    <w:p>
      <w:pPr>
        <w:numPr>
          <w:ilvl w:val="0"/>
          <w:numId w:val="10"/>
        </w:numPr>
        <w:spacing w:after="30" w:line="247" w:lineRule="auto"/>
      </w:pPr>
      <w:r>
        <w:t>If FreshCtx cannot establish currentness, it MUST return UNVERIFIABLE; it MUST NOT silently treat unknown as current.</w:t>
      </w:r>
    </w:p>
    <w:p>
      <w:pPr>
        <w:numPr>
          <w:ilvl w:val="0"/>
          <w:numId w:val="10"/>
        </w:numPr>
        <w:spacing w:after="30" w:line="247" w:lineRule="auto"/>
      </w:pPr>
      <w:r>
        <w:t>Evaluation MUST be deterministic for the same stored graph, adapter evidence, policy, and source state.</w:t>
      </w:r>
    </w:p>
    <w:p>
      <w:pPr>
        <w:pStyle w:val="Heading1"/>
      </w:pPr>
      <w:r>
        <w:t>4. Canonical data contracts</w:t>
      </w:r>
    </w:p>
    <w:tbl>
      <w:tblPr>
        <w:tblW w:type="auto" w:w="0"/>
        <w:jc w:val="center"/>
        <w:tblLayout w:type="fixed"/>
        <w:tblLook w:firstColumn="1" w:firstRow="1" w:lastColumn="0" w:lastRow="0" w:noHBand="0" w:noVBand="1" w:val="04A0"/>
        <w:tblW w:w="9360" w:type="dxa"/>
        <w:tblInd w:w="0" w:type="dxa"/>
        <w:tblW w:w="9360" w:type="dxa"/>
        <w:tblInd w:w="0" w:type="dxa"/>
        <w:tblBorders>
          <w:top w:val="single" w:sz="5" w:color="D9E1E8"/>
          <w:left w:val="single" w:sz="5" w:color="D9E1E8"/>
          <w:bottom w:val="single" w:sz="5" w:color="D9E1E8"/>
          <w:right w:val="single" w:sz="5" w:color="D9E1E8"/>
          <w:insideH w:val="single" w:sz="5" w:color="D9E1E8"/>
          <w:insideV w:val="single" w:sz="5" w:color="D9E1E8"/>
        </w:tblBorders>
      </w:tblPr>
      <w:tblGrid>
        <w:gridCol w:w="1450"/>
        <w:gridCol w:w="3300"/>
        <w:gridCol w:w="4610"/>
      </w:tblGrid>
      <w:tr>
        <w:trPr>
          <w:cantSplit/>
        </w:trPr>
        <w:tc>
          <w:tcPr>
            <w:tcW w:type="dxa" w:w="145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Object</w:t>
            </w:r>
          </w:p>
        </w:tc>
        <w:tc>
          <w:tcPr>
            <w:tcW w:type="dxa" w:w="330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Required fields</w:t>
            </w:r>
          </w:p>
        </w:tc>
        <w:tc>
          <w:tcPr>
            <w:tcW w:type="dxa" w:w="461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Rules</w:t>
            </w:r>
          </w:p>
        </w:tc>
      </w:tr>
      <w:tr>
        <w:trPr>
          <w:cantSplit/>
        </w:trPr>
        <w:tc>
          <w:tcPr>
            <w:tcW w:type="dxa" w:w="1450"/>
            <w:tcMar>
              <w:top w:w="75" w:type="dxa"/>
              <w:start w:w="105" w:type="dxa"/>
              <w:bottom w:w="75" w:type="dxa"/>
              <w:end w:w="105" w:type="dxa"/>
            </w:tcMar>
            <w:vAlign w:val="center"/>
          </w:tcPr>
          <w:p>
            <w:pPr>
              <w:spacing w:after="0"/>
            </w:pPr>
            <w:r>
              <w:rPr>
                <w:sz w:val="16"/>
              </w:rPr>
              <w:t>ObservationToken</w:t>
            </w:r>
          </w:p>
        </w:tc>
        <w:tc>
          <w:tcPr>
            <w:tcW w:type="dxa" w:w="3300"/>
            <w:tcMar>
              <w:top w:w="75" w:type="dxa"/>
              <w:start w:w="105" w:type="dxa"/>
              <w:bottom w:w="75" w:type="dxa"/>
              <w:end w:w="105" w:type="dxa"/>
            </w:tcMar>
            <w:vAlign w:val="center"/>
          </w:tcPr>
          <w:p>
            <w:pPr>
              <w:spacing w:after="0"/>
            </w:pPr>
            <w:r>
              <w:rPr>
                <w:sz w:val="16"/>
              </w:rPr>
              <w:t>id, adapter, locator, observed_at, fingerprint, validator, metadata</w:t>
            </w:r>
          </w:p>
        </w:tc>
        <w:tc>
          <w:tcPr>
            <w:tcW w:type="dxa" w:w="4610"/>
            <w:tcMar>
              <w:top w:w="75" w:type="dxa"/>
              <w:start w:w="105" w:type="dxa"/>
              <w:bottom w:w="75" w:type="dxa"/>
              <w:end w:w="105" w:type="dxa"/>
            </w:tcMar>
            <w:vAlign w:val="center"/>
          </w:tcPr>
          <w:p>
            <w:pPr>
              <w:spacing w:after="0"/>
            </w:pPr>
            <w:r>
              <w:rPr>
                <w:sz w:val="16"/>
              </w:rPr>
              <w:t>id is immutable UUID/ULID. locator is canonical but secrets MUST be redacted. fingerprint and validator are adapter-defined, versioned, serializable.</w:t>
            </w:r>
          </w:p>
        </w:tc>
      </w:tr>
      <w:tr>
        <w:trPr>
          <w:cantSplit/>
        </w:trPr>
        <w:tc>
          <w:tcPr>
            <w:tcW w:type="dxa" w:w="1450"/>
            <w:tcMar>
              <w:top w:w="75" w:type="dxa"/>
              <w:start w:w="105" w:type="dxa"/>
              <w:bottom w:w="75" w:type="dxa"/>
              <w:end w:w="105" w:type="dxa"/>
            </w:tcMar>
            <w:vAlign w:val="center"/>
          </w:tcPr>
          <w:p>
            <w:pPr>
              <w:spacing w:after="0"/>
            </w:pPr>
            <w:r>
              <w:rPr>
                <w:sz w:val="16"/>
              </w:rPr>
              <w:t>ReasoningNode</w:t>
            </w:r>
          </w:p>
        </w:tc>
        <w:tc>
          <w:tcPr>
            <w:tcW w:type="dxa" w:w="3300"/>
            <w:tcMar>
              <w:top w:w="75" w:type="dxa"/>
              <w:start w:w="105" w:type="dxa"/>
              <w:bottom w:w="75" w:type="dxa"/>
              <w:end w:w="105" w:type="dxa"/>
            </w:tcMar>
            <w:vAlign w:val="center"/>
          </w:tcPr>
          <w:p>
            <w:pPr>
              <w:spacing w:after="0"/>
            </w:pPr>
            <w:r>
              <w:rPr>
                <w:sz w:val="16"/>
              </w:rPr>
              <w:t>id, created_at, kind, dependencies[], digest, metadata</w:t>
            </w:r>
          </w:p>
        </w:tc>
        <w:tc>
          <w:tcPr>
            <w:tcW w:type="dxa" w:w="4610"/>
            <w:tcMar>
              <w:top w:w="75" w:type="dxa"/>
              <w:start w:w="105" w:type="dxa"/>
              <w:bottom w:w="75" w:type="dxa"/>
              <w:end w:w="105" w:type="dxa"/>
            </w:tcMar>
            <w:vAlign w:val="center"/>
          </w:tcPr>
          <w:p>
            <w:r>
              <w:t>dependencies[] is the canonical edge representation and is sorted/deduplicated. digest follows freshctx.reasoning-digest.v1; it is not a signature, authorization decision, tamper-proof evidence, correctness proof, or freshness substitute.</w:t>
            </w:r>
          </w:p>
        </w:tc>
      </w:tr>
      <w:tr>
        <w:trPr>
          <w:cantSplit/>
        </w:trPr>
        <w:tc>
          <w:tcPr>
            <w:tcW w:type="dxa" w:w="1450"/>
            <w:tcMar>
              <w:top w:w="75" w:type="dxa"/>
              <w:start w:w="105" w:type="dxa"/>
              <w:bottom w:w="75" w:type="dxa"/>
              <w:end w:w="105" w:type="dxa"/>
            </w:tcMar>
            <w:vAlign w:val="center"/>
          </w:tcPr>
          <w:p>
            <w:pPr>
              <w:spacing w:after="0"/>
            </w:pPr>
            <w:r>
              <w:rPr>
                <w:sz w:val="16"/>
              </w:rPr>
              <w:t>CheckResult</w:t>
            </w:r>
          </w:p>
        </w:tc>
        <w:tc>
          <w:tcPr>
            <w:tcW w:type="dxa" w:w="3300"/>
            <w:tcMar>
              <w:top w:w="75" w:type="dxa"/>
              <w:start w:w="105" w:type="dxa"/>
              <w:bottom w:w="75" w:type="dxa"/>
              <w:end w:w="105" w:type="dxa"/>
            </w:tcMar>
            <w:vAlign w:val="center"/>
          </w:tcPr>
          <w:p>
            <w:pPr>
              <w:spacing w:after="0"/>
            </w:pPr>
            <w:r>
              <w:rPr>
                <w:sz w:val="16"/>
              </w:rPr>
              <w:t>state, checked_at, subject_id, causes[], adapter_results[], policy_decision</w:t>
            </w:r>
          </w:p>
        </w:tc>
        <w:tc>
          <w:tcPr>
            <w:tcW w:type="dxa" w:w="4610"/>
            <w:tcMar>
              <w:top w:w="75" w:type="dxa"/>
              <w:start w:w="105" w:type="dxa"/>
              <w:bottom w:w="75" w:type="dxa"/>
              <w:end w:w="105" w:type="dxa"/>
            </w:tcMar>
            <w:vAlign w:val="center"/>
          </w:tcPr>
          <w:p>
            <w:pPr>
              <w:spacing w:after="0"/>
            </w:pPr>
            <w:r>
              <w:rPr>
                <w:sz w:val="16"/>
              </w:rPr>
              <w:t>state is one of CURRENT, STALE_SOURCE, STALE_REASONING, UNVERIFIABLE. causes preserve the dependency path.</w:t>
            </w:r>
          </w:p>
        </w:tc>
      </w:tr>
      <w:tr>
        <w:trPr>
          <w:cantSplit/>
        </w:trPr>
        <w:tc>
          <w:tcPr>
            <w:tcW w:type="dxa" w:w="1450"/>
            <w:tcMar>
              <w:top w:w="75" w:type="dxa"/>
              <w:start w:w="105" w:type="dxa"/>
              <w:bottom w:w="75" w:type="dxa"/>
              <w:end w:w="105" w:type="dxa"/>
            </w:tcMar>
            <w:vAlign w:val="center"/>
          </w:tcPr>
          <w:p>
            <w:pPr>
              <w:spacing w:after="0"/>
            </w:pPr>
            <w:r>
              <w:rPr>
                <w:sz w:val="16"/>
              </w:rPr>
              <w:t>AuditEvent</w:t>
            </w:r>
          </w:p>
        </w:tc>
        <w:tc>
          <w:tcPr>
            <w:tcW w:type="dxa" w:w="3300"/>
            <w:tcMar>
              <w:top w:w="75" w:type="dxa"/>
              <w:start w:w="105" w:type="dxa"/>
              <w:bottom w:w="75" w:type="dxa"/>
              <w:end w:w="105" w:type="dxa"/>
            </w:tcMar>
            <w:vAlign w:val="center"/>
          </w:tcPr>
          <w:p>
            <w:pPr>
              <w:spacing w:after="0"/>
            </w:pPr>
            <w:r>
              <w:rPr>
                <w:sz w:val="16"/>
              </w:rPr>
              <w:t>event_id, run_id, event_type, timestamp, subject_id, result, policy, details</w:t>
            </w:r>
          </w:p>
        </w:tc>
        <w:tc>
          <w:tcPr>
            <w:tcW w:type="dxa" w:w="4610"/>
            <w:tcMar>
              <w:top w:w="75" w:type="dxa"/>
              <w:start w:w="105" w:type="dxa"/>
              <w:bottom w:w="75" w:type="dxa"/>
              <w:end w:w="105" w:type="dxa"/>
            </w:tcMar>
            <w:vAlign w:val="center"/>
          </w:tcPr>
          <w:p>
            <w:pPr>
              <w:spacing w:after="0"/>
            </w:pPr>
            <w:r>
              <w:rPr>
                <w:sz w:val="16"/>
              </w:rPr>
              <w:t>Append-only JSONL. Stable schema_version required. Secret values MUST NOT be emitted by default.</w:t>
            </w:r>
          </w:p>
        </w:tc>
      </w:tr>
    </w:tbl>
    <w:p>
      <w:pPr>
        <w:spacing w:after="0"/>
      </w:pPr>
    </w:p>
    <w:p>
      <w:r>
        <w:br w:type="page"/>
      </w:r>
    </w:p>
    <w:p>
      <w:pPr>
        <w:pStyle w:val="Heading1"/>
      </w:pPr>
      <w:r>
        <w:t>5. Freshness state model</w:t>
      </w:r>
    </w:p>
    <w:tbl>
      <w:tblPr>
        <w:tblW w:type="auto" w:w="0"/>
        <w:jc w:val="center"/>
        <w:tblLayout w:type="fixed"/>
        <w:tblLook w:firstColumn="1" w:firstRow="1" w:lastColumn="0" w:lastRow="0" w:noHBand="0" w:noVBand="1" w:val="04A0"/>
        <w:tblW w:w="9360" w:type="dxa"/>
        <w:tblInd w:w="0" w:type="dxa"/>
        <w:tblW w:w="9360" w:type="dxa"/>
        <w:tblInd w:w="0" w:type="dxa"/>
        <w:tblBorders>
          <w:top w:val="single" w:sz="5" w:color="D9E1E8"/>
          <w:left w:val="single" w:sz="5" w:color="D9E1E8"/>
          <w:bottom w:val="single" w:sz="5" w:color="D9E1E8"/>
          <w:right w:val="single" w:sz="5" w:color="D9E1E8"/>
          <w:insideH w:val="single" w:sz="5" w:color="D9E1E8"/>
          <w:insideV w:val="single" w:sz="5" w:color="D9E1E8"/>
        </w:tblBorders>
      </w:tblPr>
      <w:tblGrid>
        <w:gridCol w:w="1500"/>
        <w:gridCol w:w="4700"/>
        <w:gridCol w:w="3160"/>
      </w:tblGrid>
      <w:tr>
        <w:trPr>
          <w:cantSplit/>
        </w:trPr>
        <w:tc>
          <w:tcPr>
            <w:tcW w:type="dxa" w:w="150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State</w:t>
            </w:r>
          </w:p>
        </w:tc>
        <w:tc>
          <w:tcPr>
            <w:tcW w:type="dxa" w:w="470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Meaning</w:t>
            </w:r>
          </w:p>
        </w:tc>
        <w:tc>
          <w:tcPr>
            <w:tcW w:type="dxa" w:w="316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Required consequence</w:t>
            </w:r>
          </w:p>
        </w:tc>
      </w:tr>
      <w:tr>
        <w:trPr>
          <w:cantSplit/>
        </w:trPr>
        <w:tc>
          <w:tcPr>
            <w:tcW w:type="dxa" w:w="1500"/>
            <w:tcMar>
              <w:top w:w="75" w:type="dxa"/>
              <w:start w:w="105" w:type="dxa"/>
              <w:bottom w:w="75" w:type="dxa"/>
              <w:end w:w="105" w:type="dxa"/>
            </w:tcMar>
            <w:vAlign w:val="center"/>
          </w:tcPr>
          <w:p>
            <w:pPr>
              <w:spacing w:after="0"/>
            </w:pPr>
            <w:r>
              <w:rPr>
                <w:sz w:val="16"/>
              </w:rPr>
              <w:t>CURRENT</w:t>
            </w:r>
          </w:p>
        </w:tc>
        <w:tc>
          <w:tcPr>
            <w:tcW w:type="dxa" w:w="4700"/>
            <w:tcMar>
              <w:top w:w="75" w:type="dxa"/>
              <w:start w:w="105" w:type="dxa"/>
              <w:bottom w:w="75" w:type="dxa"/>
              <w:end w:w="105" w:type="dxa"/>
            </w:tcMar>
            <w:vAlign w:val="center"/>
          </w:tcPr>
          <w:p>
            <w:r>
              <w:t>Every reachable declared dependency revalidated as equivalent under its configured adapter at check time.</w:t>
            </w:r>
          </w:p>
        </w:tc>
        <w:tc>
          <w:tcPr>
            <w:tcW w:type="dxa" w:w="3160"/>
            <w:tcMar>
              <w:top w:w="75" w:type="dxa"/>
              <w:start w:w="105" w:type="dxa"/>
              <w:bottom w:w="75" w:type="dxa"/>
              <w:end w:w="105" w:type="dxa"/>
            </w:tcMar>
            <w:vAlign w:val="center"/>
          </w:tcPr>
          <w:p>
            <w:pPr>
              <w:spacing w:after="0"/>
            </w:pPr>
            <w:r>
              <w:rPr>
                <w:sz w:val="16"/>
              </w:rPr>
              <w:t>Policy MAY allow execution.</w:t>
            </w:r>
          </w:p>
        </w:tc>
      </w:tr>
      <w:tr>
        <w:trPr>
          <w:cantSplit/>
        </w:trPr>
        <w:tc>
          <w:tcPr>
            <w:tcW w:type="dxa" w:w="1500"/>
            <w:tcMar>
              <w:top w:w="75" w:type="dxa"/>
              <w:start w:w="105" w:type="dxa"/>
              <w:bottom w:w="75" w:type="dxa"/>
              <w:end w:w="105" w:type="dxa"/>
            </w:tcMar>
            <w:vAlign w:val="center"/>
          </w:tcPr>
          <w:p>
            <w:pPr>
              <w:spacing w:after="0"/>
            </w:pPr>
            <w:r>
              <w:rPr>
                <w:sz w:val="16"/>
              </w:rPr>
              <w:t>STALE_SOURCE</w:t>
            </w:r>
          </w:p>
        </w:tc>
        <w:tc>
          <w:tcPr>
            <w:tcW w:type="dxa" w:w="4700"/>
            <w:tcMar>
              <w:top w:w="75" w:type="dxa"/>
              <w:start w:w="105" w:type="dxa"/>
              <w:bottom w:w="75" w:type="dxa"/>
              <w:end w:w="105" w:type="dxa"/>
            </w:tcMar>
            <w:vAlign w:val="center"/>
          </w:tcPr>
          <w:p>
            <w:pPr>
              <w:spacing w:after="0"/>
            </w:pPr>
            <w:r>
              <w:rPr>
                <w:sz w:val="16"/>
              </w:rPr>
              <w:t>At least one ObservationToken no longer matches its source.</w:t>
            </w:r>
          </w:p>
        </w:tc>
        <w:tc>
          <w:tcPr>
            <w:tcW w:type="dxa" w:w="3160"/>
            <w:tcMar>
              <w:top w:w="75" w:type="dxa"/>
              <w:start w:w="105" w:type="dxa"/>
              <w:bottom w:w="75" w:type="dxa"/>
              <w:end w:w="105" w:type="dxa"/>
            </w:tcMar>
            <w:vAlign w:val="center"/>
          </w:tcPr>
          <w:p>
            <w:pPr>
              <w:spacing w:after="0"/>
            </w:pPr>
            <w:r>
              <w:rPr>
                <w:sz w:val="16"/>
              </w:rPr>
              <w:t>Return changed token(s) and adapter evidence; dependent reasoning cannot remain CURRENT.</w:t>
            </w:r>
          </w:p>
        </w:tc>
      </w:tr>
      <w:tr>
        <w:trPr>
          <w:cantSplit/>
        </w:trPr>
        <w:tc>
          <w:tcPr>
            <w:tcW w:type="dxa" w:w="1500"/>
            <w:tcMar>
              <w:top w:w="75" w:type="dxa"/>
              <w:start w:w="105" w:type="dxa"/>
              <w:bottom w:w="75" w:type="dxa"/>
              <w:end w:w="105" w:type="dxa"/>
            </w:tcMar>
            <w:vAlign w:val="center"/>
          </w:tcPr>
          <w:p>
            <w:pPr>
              <w:spacing w:after="0"/>
            </w:pPr>
            <w:r>
              <w:rPr>
                <w:sz w:val="16"/>
              </w:rPr>
              <w:t>STALE_REASONING</w:t>
            </w:r>
          </w:p>
        </w:tc>
        <w:tc>
          <w:tcPr>
            <w:tcW w:type="dxa" w:w="4700"/>
            <w:tcMar>
              <w:top w:w="75" w:type="dxa"/>
              <w:start w:w="105" w:type="dxa"/>
              <w:bottom w:w="75" w:type="dxa"/>
              <w:end w:w="105" w:type="dxa"/>
            </w:tcMar>
            <w:vAlign w:val="center"/>
          </w:tcPr>
          <w:p>
            <w:pPr>
              <w:spacing w:after="0"/>
            </w:pPr>
            <w:r>
              <w:rPr>
                <w:sz w:val="16"/>
              </w:rPr>
              <w:t>A ReasoningNode depends transitively on STALE_SOURCE or STALE_REASONING.</w:t>
            </w:r>
          </w:p>
        </w:tc>
        <w:tc>
          <w:tcPr>
            <w:tcW w:type="dxa" w:w="3160"/>
            <w:tcMar>
              <w:top w:w="75" w:type="dxa"/>
              <w:start w:w="105" w:type="dxa"/>
              <w:bottom w:w="75" w:type="dxa"/>
              <w:end w:w="105" w:type="dxa"/>
            </w:tcMar>
            <w:vAlign w:val="center"/>
          </w:tcPr>
          <w:p>
            <w:pPr>
              <w:spacing w:after="0"/>
            </w:pPr>
            <w:r>
              <w:rPr>
                <w:sz w:val="16"/>
              </w:rPr>
              <w:t>Return the shortest known causal path to the changed observation.</w:t>
            </w:r>
          </w:p>
        </w:tc>
      </w:tr>
      <w:tr>
        <w:trPr>
          <w:cantSplit/>
        </w:trPr>
        <w:tc>
          <w:tcPr>
            <w:tcW w:type="dxa" w:w="1500"/>
            <w:tcMar>
              <w:top w:w="75" w:type="dxa"/>
              <w:start w:w="105" w:type="dxa"/>
              <w:bottom w:w="75" w:type="dxa"/>
              <w:end w:w="105" w:type="dxa"/>
            </w:tcMar>
            <w:vAlign w:val="center"/>
          </w:tcPr>
          <w:p>
            <w:pPr>
              <w:spacing w:after="0"/>
            </w:pPr>
            <w:r>
              <w:rPr>
                <w:sz w:val="16"/>
              </w:rPr>
              <w:t>UNVERIFIABLE</w:t>
            </w:r>
          </w:p>
        </w:tc>
        <w:tc>
          <w:tcPr>
            <w:tcW w:type="dxa" w:w="4700"/>
            <w:tcMar>
              <w:top w:w="75" w:type="dxa"/>
              <w:start w:w="105" w:type="dxa"/>
              <w:bottom w:w="75" w:type="dxa"/>
              <w:end w:w="105" w:type="dxa"/>
            </w:tcMar>
            <w:vAlign w:val="center"/>
          </w:tcPr>
          <w:p>
            <w:pPr>
              <w:spacing w:after="0"/>
            </w:pPr>
            <w:r>
              <w:rPr>
                <w:sz w:val="16"/>
              </w:rPr>
              <w:t>Validation could not establish equivalence because of timeout, permission, unavailable source, unsupported validator, or corrupt record.</w:t>
            </w:r>
          </w:p>
        </w:tc>
        <w:tc>
          <w:tcPr>
            <w:tcW w:type="dxa" w:w="3160"/>
            <w:tcMar>
              <w:top w:w="75" w:type="dxa"/>
              <w:start w:w="105" w:type="dxa"/>
              <w:bottom w:w="75" w:type="dxa"/>
              <w:end w:w="105" w:type="dxa"/>
            </w:tcMar>
            <w:vAlign w:val="center"/>
          </w:tcPr>
          <w:p>
            <w:pPr>
              <w:spacing w:after="0"/>
            </w:pPr>
            <w:r>
              <w:rPr>
                <w:sz w:val="16"/>
              </w:rPr>
              <w:t>Apply policy explicitly; never collapse into CURRENT.</w:t>
            </w:r>
          </w:p>
        </w:tc>
      </w:tr>
    </w:tbl>
    <w:p>
      <w:pPr>
        <w:spacing w:after="0"/>
      </w:pPr>
    </w:p>
    <w:p>
      <w:pPr>
        <w:pStyle w:val="Heading1"/>
      </w:pPr>
      <w:r>
        <w:t>6. Evaluation algorithm</w:t>
      </w:r>
    </w:p>
    <w:p>
      <w:pPr>
        <w:numPr>
          <w:ilvl w:val="0"/>
          <w:numId w:val="11"/>
        </w:numPr>
        <w:spacing w:after="30" w:line="247" w:lineRule="auto"/>
      </w:pPr>
      <w:r>
        <w:t>Resolve the protected subject and load its dependency subgraph. A missing or cyclic graph yields UNVERIFIABLE; cycles MUST be reported.</w:t>
      </w:r>
    </w:p>
    <w:p>
      <w:pPr>
        <w:numPr>
          <w:ilvl w:val="0"/>
          <w:numId w:val="11"/>
        </w:numPr>
        <w:spacing w:after="30" w:line="247" w:lineRule="auto"/>
      </w:pPr>
      <w:r>
        <w:t>Deduplicate ObservationTokens by token ID and validate each through its named adapter. v0.1 evaluation is deterministic and synchronous.</w:t>
      </w:r>
    </w:p>
    <w:p>
      <w:pPr>
        <w:numPr>
          <w:ilvl w:val="0"/>
          <w:numId w:val="11"/>
        </w:numPr>
        <w:spacing w:after="30" w:line="247" w:lineRule="auto"/>
      </w:pPr>
      <w:r>
        <w:t>Map adapter outcomes: equivalent → CURRENT; changed → STALE_SOURCE; indeterminate/error → UNVERIFIABLE.</w:t>
      </w:r>
    </w:p>
    <w:p>
      <w:pPr>
        <w:numPr>
          <w:ilvl w:val="0"/>
          <w:numId w:val="11"/>
        </w:numPr>
        <w:spacing w:after="30" w:line="247" w:lineRule="auto"/>
      </w:pPr>
      <w:r>
        <w:t>Propagate STALE_REASONING to each ReasoningNode with a transitive stale dependency. UNVERIFIABLE propagates unless a stale dependency already proves staleness.</w:t>
      </w:r>
    </w:p>
    <w:p>
      <w:pPr>
        <w:numPr>
          <w:ilvl w:val="0"/>
          <w:numId w:val="11"/>
        </w:numPr>
        <w:spacing w:after="30" w:line="247" w:lineRule="auto"/>
      </w:pPr>
      <w:r>
        <w:t>Aggregate with precedence STALE_REASONING/STALE_SOURCE &gt; UNVERIFIABLE &gt; CURRENT, then apply the configured policy.</w:t>
      </w:r>
    </w:p>
    <w:p>
      <w:pPr>
        <w:numPr>
          <w:ilvl w:val="0"/>
          <w:numId w:val="11"/>
        </w:numPr>
        <w:spacing w:after="30" w:line="247" w:lineRule="auto"/>
      </w:pPr>
      <w:r>
        <w:t>Emit local observed, protected, policy_applied, and action_allowed events at the implemented boundaries; a required audit failure blocks the action.</w:t>
      </w:r>
    </w:p>
    <w:p>
      <w:pPr>
        <w:pStyle w:val="Heading1"/>
      </w:pPr>
      <w:r>
        <w:t>7. Adapter contract</w:t>
      </w:r>
    </w:p>
    <w:p>
      <w:pPr>
        <w:spacing w:after="60"/>
      </w:pPr>
      <w:r>
        <w:t>Each adapter MUST implement observe(locator) -&gt; ObservationToken and validate(token) -&gt; AdapterResult. AdapterResult contains outcome {equivalent, changed, indeterminate}, checked_at, safe evidence, latency_ms, and optional error_code. Validation MUST be side-effect free. Credentials MUST come from the host environment and MUST NOT be persisted.</w:t>
      </w:r>
    </w:p>
    <w:tbl>
      <w:tblPr>
        <w:tblW w:type="auto" w:w="0"/>
        <w:jc w:val="center"/>
        <w:tblLayout w:type="fixed"/>
        <w:tblLook w:firstColumn="1" w:firstRow="1" w:lastColumn="0" w:lastRow="0" w:noHBand="0" w:noVBand="1" w:val="04A0"/>
        <w:tblW w:w="9360" w:type="dxa"/>
        <w:tblInd w:w="0" w:type="dxa"/>
        <w:tblW w:w="9360" w:type="dxa"/>
        <w:tblInd w:w="0" w:type="dxa"/>
        <w:tblBorders>
          <w:top w:val="single" w:sz="5" w:color="D9E1E8"/>
          <w:left w:val="single" w:sz="5" w:color="D9E1E8"/>
          <w:bottom w:val="single" w:sz="5" w:color="D9E1E8"/>
          <w:right w:val="single" w:sz="5" w:color="D9E1E8"/>
          <w:insideH w:val="single" w:sz="5" w:color="D9E1E8"/>
          <w:insideV w:val="single" w:sz="5" w:color="D9E1E8"/>
        </w:tblBorders>
      </w:tblPr>
      <w:tblGrid>
        <w:gridCol w:w="1250"/>
        <w:gridCol w:w="4400"/>
        <w:gridCol w:w="3710"/>
      </w:tblGrid>
      <w:tr>
        <w:trPr>
          <w:cantSplit/>
        </w:trPr>
        <w:tc>
          <w:tcPr>
            <w:tcW w:type="dxa" w:w="125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Adapter</w:t>
            </w:r>
          </w:p>
        </w:tc>
        <w:tc>
          <w:tcPr>
            <w:tcW w:type="dxa" w:w="440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v0.1 fingerprint / validator</w:t>
            </w:r>
          </w:p>
        </w:tc>
        <w:tc>
          <w:tcPr>
            <w:tcW w:type="dxa" w:w="371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Minimum behavior</w:t>
            </w:r>
          </w:p>
        </w:tc>
      </w:tr>
      <w:tr>
        <w:trPr>
          <w:cantSplit/>
        </w:trPr>
        <w:tc>
          <w:tcPr>
            <w:tcW w:type="dxa" w:w="1250"/>
            <w:tcMar>
              <w:top w:w="75" w:type="dxa"/>
              <w:start w:w="105" w:type="dxa"/>
              <w:bottom w:w="75" w:type="dxa"/>
              <w:end w:w="105" w:type="dxa"/>
            </w:tcMar>
            <w:vAlign w:val="center"/>
          </w:tcPr>
          <w:p>
            <w:pPr>
              <w:spacing w:after="0"/>
            </w:pPr>
            <w:r>
              <w:rPr>
                <w:sz w:val="16"/>
              </w:rPr>
              <w:t>Filesystem</w:t>
            </w:r>
          </w:p>
        </w:tc>
        <w:tc>
          <w:tcPr>
            <w:tcW w:type="dxa" w:w="4400"/>
            <w:tcMar>
              <w:top w:w="75" w:type="dxa"/>
              <w:start w:w="105" w:type="dxa"/>
              <w:bottom w:w="75" w:type="dxa"/>
              <w:end w:w="105" w:type="dxa"/>
            </w:tcMar>
            <w:vAlign w:val="center"/>
          </w:tcPr>
          <w:p>
            <w:r>
              <w:t>Absolute path; file type; streamed SHA-256; bounded sorted directory manifest. Defaults: 16 MiB/file, 64 MiB total, 10,000 entries.</w:t>
            </w:r>
          </w:p>
        </w:tc>
        <w:tc>
          <w:tcPr>
            <w:tcW w:type="dxa" w:w="3710"/>
            <w:tcMar>
              <w:top w:w="75" w:type="dxa"/>
              <w:start w:w="105" w:type="dxa"/>
              <w:bottom w:w="75" w:type="dxa"/>
              <w:end w:w="105" w:type="dxa"/>
            </w:tcMar>
            <w:vAlign w:val="center"/>
          </w:tcPr>
          <w:p>
            <w:r>
              <w:t>Do not follow symlinks by default. Followed file links stay inside root; directory-link traversal is unsupported. Limit/scope/I/O failure is indeterminate. Raw content is not stored.</w:t>
            </w:r>
          </w:p>
        </w:tc>
      </w:tr>
      <w:tr>
        <w:trPr>
          <w:cantSplit/>
        </w:trPr>
        <w:tc>
          <w:tcPr>
            <w:tcW w:type="dxa" w:w="1250"/>
            <w:tcMar>
              <w:top w:w="75" w:type="dxa"/>
              <w:start w:w="105" w:type="dxa"/>
              <w:bottom w:w="75" w:type="dxa"/>
              <w:end w:w="105" w:type="dxa"/>
            </w:tcMar>
            <w:vAlign w:val="center"/>
          </w:tcPr>
          <w:p>
            <w:pPr>
              <w:spacing w:after="0"/>
            </w:pPr>
            <w:r>
              <w:rPr>
                <w:sz w:val="16"/>
              </w:rPr>
              <w:t>Git</w:t>
            </w:r>
          </w:p>
        </w:tc>
        <w:tc>
          <w:tcPr>
            <w:tcW w:type="dxa" w:w="4400"/>
            <w:tcMar>
              <w:top w:w="75" w:type="dxa"/>
              <w:start w:w="105" w:type="dxa"/>
              <w:bottom w:w="75" w:type="dxa"/>
              <w:end w:w="105" w:type="dxa"/>
            </w:tcMar>
            <w:vAlign w:val="center"/>
          </w:tcPr>
          <w:p>
            <w:pPr>
              <w:spacing w:after="0"/>
            </w:pPr>
            <w:r>
              <w:rPr>
                <w:sz w:val="16"/>
              </w:rPr>
              <w:t>Repo identity; HEAD/ref; commit SHA; optional path/tree SHA; dirty-worktree digest.</w:t>
            </w:r>
          </w:p>
        </w:tc>
        <w:tc>
          <w:tcPr>
            <w:tcW w:type="dxa" w:w="3710"/>
            <w:tcMar>
              <w:top w:w="75" w:type="dxa"/>
              <w:start w:w="105" w:type="dxa"/>
              <w:bottom w:w="75" w:type="dxa"/>
              <w:end w:w="105" w:type="dxa"/>
            </w:tcMar>
            <w:vAlign w:val="center"/>
          </w:tcPr>
          <w:p>
            <w:pPr>
              <w:spacing w:after="0"/>
            </w:pPr>
            <w:r>
              <w:rPr>
                <w:sz w:val="16"/>
              </w:rPr>
              <w:t>Detect ref advance, checkout change, selected-path change, and relevant dirty state. Missing repo/ref → indeterminate.</w:t>
            </w:r>
          </w:p>
        </w:tc>
      </w:tr>
      <w:tr>
        <w:trPr>
          <w:cantSplit/>
        </w:trPr>
        <w:tc>
          <w:tcPr>
            <w:tcW w:type="dxa" w:w="1250"/>
            <w:tcMar>
              <w:top w:w="75" w:type="dxa"/>
              <w:start w:w="105" w:type="dxa"/>
              <w:bottom w:w="75" w:type="dxa"/>
              <w:end w:w="105" w:type="dxa"/>
            </w:tcMar>
            <w:vAlign w:val="center"/>
          </w:tcPr>
          <w:p>
            <w:pPr>
              <w:spacing w:after="0"/>
            </w:pPr>
            <w:r>
              <w:rPr>
                <w:sz w:val="16"/>
              </w:rPr>
              <w:t>HTTP</w:t>
            </w:r>
          </w:p>
        </w:tc>
        <w:tc>
          <w:tcPr>
            <w:tcW w:type="dxa" w:w="4400"/>
            <w:tcMar>
              <w:top w:w="75" w:type="dxa"/>
              <w:start w:w="105" w:type="dxa"/>
              <w:bottom w:w="75" w:type="dxa"/>
              <w:end w:w="105" w:type="dxa"/>
            </w:tcMar>
            <w:vAlign w:val="center"/>
          </w:tcPr>
          <w:p>
            <w:pPr>
              <w:spacing w:after="0"/>
            </w:pPr>
            <w:r>
              <w:rPr>
                <w:sz w:val="16"/>
              </w:rPr>
              <w:t>Normalized URL; status; ETag and/or Last-Modified; body SHA-256; cache metadata.</w:t>
            </w:r>
          </w:p>
        </w:tc>
        <w:tc>
          <w:tcPr>
            <w:tcW w:type="dxa" w:w="3710"/>
            <w:tcMar>
              <w:top w:w="75" w:type="dxa"/>
              <w:start w:w="105" w:type="dxa"/>
              <w:bottom w:w="75" w:type="dxa"/>
              <w:end w:w="105" w:type="dxa"/>
            </w:tcMar>
            <w:vAlign w:val="center"/>
          </w:tcPr>
          <w:p>
            <w:pPr>
              <w:spacing w:after="0"/>
            </w:pPr>
            <w:r>
              <w:rPr>
                <w:sz w:val="16"/>
              </w:rPr>
              <w:t>Prefer conditional GET/HEAD. Same strong ETag or body hash → equivalent. Timeout, auth failure, or 5xx → indeterminate unless policy overrides.</w:t>
            </w:r>
          </w:p>
        </w:tc>
      </w:tr>
      <w:tr>
        <w:trPr>
          <w:cantSplit/>
        </w:trPr>
        <w:tc>
          <w:tcPr>
            <w:tcW w:type="dxa" w:w="1250"/>
            <w:tcMar>
              <w:top w:w="75" w:type="dxa"/>
              <w:start w:w="105" w:type="dxa"/>
              <w:bottom w:w="75" w:type="dxa"/>
              <w:end w:w="105" w:type="dxa"/>
            </w:tcMar>
            <w:vAlign w:val="center"/>
          </w:tcPr>
          <w:p>
            <w:pPr>
              <w:spacing w:after="0"/>
            </w:pPr>
            <w:r>
              <w:rPr>
                <w:sz w:val="16"/>
              </w:rPr>
              <w:t>Postgres</w:t>
            </w:r>
          </w:p>
        </w:tc>
        <w:tc>
          <w:tcPr>
            <w:tcW w:type="dxa" w:w="4400"/>
            <w:tcMar>
              <w:top w:w="75" w:type="dxa"/>
              <w:start w:w="105" w:type="dxa"/>
              <w:bottom w:w="75" w:type="dxa"/>
              <w:end w:w="105" w:type="dxa"/>
            </w:tcMar>
            <w:vAlign w:val="center"/>
          </w:tcPr>
          <w:p>
            <w:pPr>
              <w:spacing w:after="0"/>
            </w:pPr>
            <w:r>
              <w:rPr>
                <w:sz w:val="16"/>
              </w:rPr>
              <w:t>DSN identity hash; query identity; parameters hash; result digest; optional version column/transaction marker.</w:t>
            </w:r>
          </w:p>
        </w:tc>
        <w:tc>
          <w:tcPr>
            <w:tcW w:type="dxa" w:w="3710"/>
            <w:tcMar>
              <w:top w:w="75" w:type="dxa"/>
              <w:start w:w="105" w:type="dxa"/>
              <w:bottom w:w="75" w:type="dxa"/>
              <w:end w:w="105" w:type="dxa"/>
            </w:tcMar>
            <w:vAlign w:val="center"/>
          </w:tcPr>
          <w:p>
            <w:r>
              <w:t>Optional observed-source adapter, not a FreshCtx store. Execute read-only validation with bounded timeout. Reconstruct credentials/query inputs after restart or return indeterminate.</w:t>
            </w:r>
          </w:p>
        </w:tc>
      </w:tr>
      <w:tr>
        <w:trPr>
          <w:cantSplit/>
        </w:trPr>
        <w:tc>
          <w:tcPr>
            <w:tcW w:type="dxa" w:w="1250"/>
            <w:tcMar>
              <w:top w:w="75" w:type="dxa"/>
              <w:start w:w="105" w:type="dxa"/>
              <w:bottom w:w="75" w:type="dxa"/>
              <w:end w:w="105" w:type="dxa"/>
            </w:tcMar>
            <w:vAlign w:val="center"/>
          </w:tcPr>
          <w:p>
            <w:pPr>
              <w:spacing w:after="0"/>
            </w:pPr>
            <w:r>
              <w:rPr>
                <w:sz w:val="16"/>
              </w:rPr>
              <w:t>MCP</w:t>
            </w:r>
          </w:p>
        </w:tc>
        <w:tc>
          <w:tcPr>
            <w:tcW w:type="dxa" w:w="4400"/>
            <w:tcMar>
              <w:top w:w="75" w:type="dxa"/>
              <w:start w:w="105" w:type="dxa"/>
              <w:bottom w:w="75" w:type="dxa"/>
              <w:end w:w="105" w:type="dxa"/>
            </w:tcMar>
            <w:vAlign w:val="center"/>
          </w:tcPr>
          <w:p>
            <w:pPr>
              <w:spacing w:after="0"/>
            </w:pPr>
            <w:r>
              <w:rPr>
                <w:sz w:val="16"/>
              </w:rPr>
              <w:t>Server identity; tool/resource name; normalized arguments; result digest; server-provided version metadata.</w:t>
            </w:r>
          </w:p>
        </w:tc>
        <w:tc>
          <w:tcPr>
            <w:tcW w:type="dxa" w:w="3710"/>
            <w:tcMar>
              <w:top w:w="75" w:type="dxa"/>
              <w:start w:w="105" w:type="dxa"/>
              <w:bottom w:w="75" w:type="dxa"/>
              <w:end w:w="105" w:type="dxa"/>
            </w:tcMar>
            <w:vAlign w:val="center"/>
          </w:tcPr>
          <w:p>
            <w:r>
              <w:t>Application supplies a safe reader; missing or unsafe readers are indeterminate.</w:t>
            </w:r>
          </w:p>
        </w:tc>
      </w:tr>
    </w:tbl>
    <w:p>
      <w:pPr>
        <w:spacing w:after="0"/>
      </w:pPr>
    </w:p>
    <w:p>
      <w:pPr>
        <w:pStyle w:val="Heading1"/>
      </w:pPr>
      <w:r>
        <w:t>8. Policy and enforcement</w:t>
      </w:r>
    </w:p>
    <w:tbl>
      <w:tblPr>
        <w:tblW w:type="auto" w:w="0"/>
        <w:jc w:val="center"/>
        <w:tblLayout w:type="fixed"/>
        <w:tblLook w:firstColumn="1" w:firstRow="1" w:lastColumn="0" w:lastRow="0" w:noHBand="0" w:noVBand="1" w:val="04A0"/>
        <w:tblW w:w="9360" w:type="dxa"/>
        <w:tblInd w:w="0" w:type="dxa"/>
        <w:tblW w:w="9360" w:type="dxa"/>
        <w:tblInd w:w="0" w:type="dxa"/>
        <w:tblBorders>
          <w:top w:val="single" w:sz="5" w:color="D9E1E8"/>
          <w:left w:val="single" w:sz="5" w:color="D9E1E8"/>
          <w:bottom w:val="single" w:sz="5" w:color="D9E1E8"/>
          <w:right w:val="single" w:sz="5" w:color="D9E1E8"/>
          <w:insideH w:val="single" w:sz="5" w:color="D9E1E8"/>
          <w:insideV w:val="single" w:sz="5" w:color="D9E1E8"/>
        </w:tblBorders>
      </w:tblPr>
      <w:tblGrid>
        <w:gridCol w:w="1550"/>
        <w:gridCol w:w="1400"/>
        <w:gridCol w:w="3350"/>
        <w:gridCol w:w="3060"/>
      </w:tblGrid>
      <w:tr>
        <w:trPr>
          <w:cantSplit/>
        </w:trPr>
        <w:tc>
          <w:tcPr>
            <w:tcW w:type="dxa" w:w="155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Policy</w:t>
            </w:r>
          </w:p>
        </w:tc>
        <w:tc>
          <w:tcPr>
            <w:tcW w:type="dxa" w:w="140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CURRENT</w:t>
            </w:r>
          </w:p>
        </w:tc>
        <w:tc>
          <w:tcPr>
            <w:tcW w:type="dxa" w:w="335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STALE_*</w:t>
            </w:r>
          </w:p>
        </w:tc>
        <w:tc>
          <w:tcPr>
            <w:tcW w:type="dxa" w:w="306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UNVERIFIABLE</w:t>
            </w:r>
          </w:p>
        </w:tc>
      </w:tr>
      <w:tr>
        <w:trPr>
          <w:cantSplit/>
        </w:trPr>
        <w:tc>
          <w:tcPr>
            <w:tcW w:type="dxa" w:w="1550"/>
            <w:tcMar>
              <w:top w:w="75" w:type="dxa"/>
              <w:start w:w="105" w:type="dxa"/>
              <w:bottom w:w="75" w:type="dxa"/>
              <w:end w:w="105" w:type="dxa"/>
            </w:tcMar>
            <w:vAlign w:val="center"/>
          </w:tcPr>
          <w:p>
            <w:pPr>
              <w:spacing w:after="0"/>
            </w:pPr>
            <w:r>
              <w:rPr>
                <w:sz w:val="16"/>
              </w:rPr>
              <w:t>block (default)</w:t>
            </w:r>
          </w:p>
        </w:tc>
        <w:tc>
          <w:tcPr>
            <w:tcW w:type="dxa" w:w="1400"/>
            <w:tcMar>
              <w:top w:w="75" w:type="dxa"/>
              <w:start w:w="105" w:type="dxa"/>
              <w:bottom w:w="75" w:type="dxa"/>
              <w:end w:w="105" w:type="dxa"/>
            </w:tcMar>
            <w:vAlign w:val="center"/>
          </w:tcPr>
          <w:p>
            <w:pPr>
              <w:spacing w:after="0"/>
            </w:pPr>
            <w:r>
              <w:rPr>
                <w:sz w:val="16"/>
              </w:rPr>
              <w:t>allow</w:t>
            </w:r>
          </w:p>
        </w:tc>
        <w:tc>
          <w:tcPr>
            <w:tcW w:type="dxa" w:w="3350"/>
            <w:tcMar>
              <w:top w:w="75" w:type="dxa"/>
              <w:start w:w="105" w:type="dxa"/>
              <w:bottom w:w="75" w:type="dxa"/>
              <w:end w:w="105" w:type="dxa"/>
            </w:tcMar>
            <w:vAlign w:val="center"/>
          </w:tcPr>
          <w:p>
            <w:pPr>
              <w:spacing w:after="0"/>
            </w:pPr>
            <w:r>
              <w:rPr>
                <w:sz w:val="16"/>
              </w:rPr>
              <w:t>raise FreshnessBlocked</w:t>
            </w:r>
          </w:p>
        </w:tc>
        <w:tc>
          <w:tcPr>
            <w:tcW w:type="dxa" w:w="3060"/>
            <w:tcMar>
              <w:top w:w="75" w:type="dxa"/>
              <w:start w:w="105" w:type="dxa"/>
              <w:bottom w:w="75" w:type="dxa"/>
              <w:end w:w="105" w:type="dxa"/>
            </w:tcMar>
            <w:vAlign w:val="center"/>
          </w:tcPr>
          <w:p>
            <w:pPr>
              <w:spacing w:after="0"/>
            </w:pPr>
            <w:r>
              <w:rPr>
                <w:sz w:val="16"/>
              </w:rPr>
              <w:t>raise FreshnessBlocked</w:t>
            </w:r>
          </w:p>
        </w:tc>
      </w:tr>
      <w:tr>
        <w:trPr>
          <w:cantSplit/>
        </w:trPr>
        <w:tc>
          <w:tcPr>
            <w:tcW w:type="dxa" w:w="1550"/>
            <w:tcMar>
              <w:top w:w="75" w:type="dxa"/>
              <w:start w:w="105" w:type="dxa"/>
              <w:bottom w:w="75" w:type="dxa"/>
              <w:end w:w="105" w:type="dxa"/>
            </w:tcMar>
            <w:vAlign w:val="center"/>
          </w:tcPr>
          <w:p>
            <w:pPr>
              <w:spacing w:after="0"/>
            </w:pPr>
            <w:r>
              <w:rPr>
                <w:sz w:val="16"/>
              </w:rPr>
              <w:t>warn</w:t>
            </w:r>
          </w:p>
        </w:tc>
        <w:tc>
          <w:tcPr>
            <w:tcW w:type="dxa" w:w="1400"/>
            <w:tcMar>
              <w:top w:w="75" w:type="dxa"/>
              <w:start w:w="105" w:type="dxa"/>
              <w:bottom w:w="75" w:type="dxa"/>
              <w:end w:w="105" w:type="dxa"/>
            </w:tcMar>
            <w:vAlign w:val="center"/>
          </w:tcPr>
          <w:p>
            <w:pPr>
              <w:spacing w:after="0"/>
            </w:pPr>
            <w:r>
              <w:rPr>
                <w:sz w:val="16"/>
              </w:rPr>
              <w:t>allow</w:t>
            </w:r>
          </w:p>
        </w:tc>
        <w:tc>
          <w:tcPr>
            <w:tcW w:type="dxa" w:w="3350"/>
            <w:tcMar>
              <w:top w:w="75" w:type="dxa"/>
              <w:start w:w="105" w:type="dxa"/>
              <w:bottom w:w="75" w:type="dxa"/>
              <w:end w:w="105" w:type="dxa"/>
            </w:tcMar>
            <w:vAlign w:val="center"/>
          </w:tcPr>
          <w:p>
            <w:pPr>
              <w:spacing w:after="0"/>
            </w:pPr>
            <w:r>
              <w:rPr>
                <w:sz w:val="16"/>
              </w:rPr>
              <w:t>emit warning; allow</w:t>
            </w:r>
          </w:p>
        </w:tc>
        <w:tc>
          <w:tcPr>
            <w:tcW w:type="dxa" w:w="3060"/>
            <w:tcMar>
              <w:top w:w="75" w:type="dxa"/>
              <w:start w:w="105" w:type="dxa"/>
              <w:bottom w:w="75" w:type="dxa"/>
              <w:end w:w="105" w:type="dxa"/>
            </w:tcMar>
            <w:vAlign w:val="center"/>
          </w:tcPr>
          <w:p>
            <w:pPr>
              <w:spacing w:after="0"/>
            </w:pPr>
            <w:r>
              <w:rPr>
                <w:sz w:val="16"/>
              </w:rPr>
              <w:t>emit warning; allow</w:t>
            </w:r>
          </w:p>
        </w:tc>
      </w:tr>
      <w:tr>
        <w:trPr>
          <w:cantSplit/>
        </w:trPr>
        <w:tc>
          <w:tcPr>
            <w:tcW w:type="dxa" w:w="1550"/>
            <w:tcMar>
              <w:top w:w="75" w:type="dxa"/>
              <w:start w:w="105" w:type="dxa"/>
              <w:bottom w:w="75" w:type="dxa"/>
              <w:end w:w="105" w:type="dxa"/>
            </w:tcMar>
            <w:vAlign w:val="center"/>
          </w:tcPr>
          <w:p>
            <w:pPr>
              <w:spacing w:after="0"/>
            </w:pPr>
            <w:r>
              <w:rPr>
                <w:sz w:val="16"/>
              </w:rPr>
              <w:t>refresh</w:t>
            </w:r>
          </w:p>
        </w:tc>
        <w:tc>
          <w:tcPr>
            <w:tcW w:type="dxa" w:w="1400"/>
            <w:tcMar>
              <w:top w:w="75" w:type="dxa"/>
              <w:start w:w="105" w:type="dxa"/>
              <w:bottom w:w="75" w:type="dxa"/>
              <w:end w:w="105" w:type="dxa"/>
            </w:tcMar>
            <w:vAlign w:val="center"/>
          </w:tcPr>
          <w:p>
            <w:pPr>
              <w:spacing w:after="0"/>
            </w:pPr>
            <w:r>
              <w:rPr>
                <w:sz w:val="16"/>
              </w:rPr>
              <w:t>allow</w:t>
            </w:r>
          </w:p>
        </w:tc>
        <w:tc>
          <w:tcPr>
            <w:tcW w:type="dxa" w:w="3350"/>
            <w:tcMar>
              <w:top w:w="75" w:type="dxa"/>
              <w:start w:w="105" w:type="dxa"/>
              <w:bottom w:w="75" w:type="dxa"/>
              <w:end w:w="105" w:type="dxa"/>
            </w:tcMar>
            <w:vAlign w:val="center"/>
          </w:tcPr>
          <w:p>
            <w:pPr>
              <w:spacing w:after="0"/>
            </w:pPr>
            <w:r>
              <w:rPr>
                <w:sz w:val="16"/>
              </w:rPr>
              <w:t>invoke registered refresh callback once, rebuild reasoning, recheck; otherwise block</w:t>
            </w:r>
          </w:p>
        </w:tc>
        <w:tc>
          <w:tcPr>
            <w:tcW w:type="dxa" w:w="3060"/>
            <w:tcMar>
              <w:top w:w="75" w:type="dxa"/>
              <w:start w:w="105" w:type="dxa"/>
              <w:bottom w:w="75" w:type="dxa"/>
              <w:end w:w="105" w:type="dxa"/>
            </w:tcMar>
            <w:vAlign w:val="center"/>
          </w:tcPr>
          <w:p>
            <w:pPr>
              <w:spacing w:after="0"/>
            </w:pPr>
            <w:r>
              <w:rPr>
                <w:sz w:val="16"/>
              </w:rPr>
              <w:t>retry validation once; refresh if supported; otherwise block</w:t>
            </w:r>
          </w:p>
        </w:tc>
      </w:tr>
      <w:tr>
        <w:trPr>
          <w:cantSplit/>
        </w:trPr>
        <w:tc>
          <w:tcPr>
            <w:tcW w:type="dxa" w:w="1550"/>
            <w:tcMar>
              <w:top w:w="75" w:type="dxa"/>
              <w:start w:w="105" w:type="dxa"/>
              <w:bottom w:w="75" w:type="dxa"/>
              <w:end w:w="105" w:type="dxa"/>
            </w:tcMar>
            <w:vAlign w:val="center"/>
          </w:tcPr>
          <w:p>
            <w:pPr>
              <w:spacing w:after="0"/>
            </w:pPr>
            <w:r>
              <w:rPr>
                <w:sz w:val="16"/>
              </w:rPr>
              <w:t>allow</w:t>
            </w:r>
          </w:p>
        </w:tc>
        <w:tc>
          <w:tcPr>
            <w:tcW w:type="dxa" w:w="1400"/>
            <w:tcMar>
              <w:top w:w="75" w:type="dxa"/>
              <w:start w:w="105" w:type="dxa"/>
              <w:bottom w:w="75" w:type="dxa"/>
              <w:end w:w="105" w:type="dxa"/>
            </w:tcMar>
            <w:vAlign w:val="center"/>
          </w:tcPr>
          <w:p>
            <w:pPr>
              <w:spacing w:after="0"/>
            </w:pPr>
            <w:r>
              <w:rPr>
                <w:sz w:val="16"/>
              </w:rPr>
              <w:t>allow</w:t>
            </w:r>
          </w:p>
        </w:tc>
        <w:tc>
          <w:tcPr>
            <w:tcW w:type="dxa" w:w="3350"/>
            <w:tcMar>
              <w:top w:w="75" w:type="dxa"/>
              <w:start w:w="105" w:type="dxa"/>
              <w:bottom w:w="75" w:type="dxa"/>
              <w:end w:w="105" w:type="dxa"/>
            </w:tcMar>
            <w:vAlign w:val="center"/>
          </w:tcPr>
          <w:p>
            <w:pPr>
              <w:spacing w:after="0"/>
            </w:pPr>
            <w:r>
              <w:rPr>
                <w:sz w:val="16"/>
              </w:rPr>
              <w:t>allow with audit flag</w:t>
            </w:r>
          </w:p>
        </w:tc>
        <w:tc>
          <w:tcPr>
            <w:tcW w:type="dxa" w:w="3060"/>
            <w:tcMar>
              <w:top w:w="75" w:type="dxa"/>
              <w:start w:w="105" w:type="dxa"/>
              <w:bottom w:w="75" w:type="dxa"/>
              <w:end w:w="105" w:type="dxa"/>
            </w:tcMar>
            <w:vAlign w:val="center"/>
          </w:tcPr>
          <w:p>
            <w:pPr>
              <w:spacing w:after="0"/>
            </w:pPr>
            <w:r>
              <w:rPr>
                <w:sz w:val="16"/>
              </w:rPr>
              <w:t>allow with audit flag</w:t>
            </w:r>
          </w:p>
        </w:tc>
      </w:tr>
    </w:tbl>
    <w:p>
      <w:pPr>
        <w:spacing w:after="0"/>
      </w:pPr>
    </w:p>
    <w:p>
      <w:pPr>
        <w:spacing w:after="60"/>
      </w:pPr>
      <w:r>
        <w:t>The default policy MUST be block. Policy selection MUST be explicit in configuration or inherit that default. refresh MUST be bounded to one automatic cycle per enforcement point in v0.1 to prevent loops. A policy decision MUST include the resolved state, action, reasons, and causal token IDs.</w:t>
      </w:r>
    </w:p>
    <w:p>
      <w:pPr>
        <w:pStyle w:val="Heading1"/>
      </w:pPr>
      <w:r>
        <w:t>9. Public Python API</w:t>
      </w:r>
    </w:p>
    <w:tbl>
      <w:tblPr>
        <w:tblW w:type="auto" w:w="0"/>
        <w:jc w:val="center"/>
        <w:tblLayout w:type="fixed"/>
        <w:tblLook w:firstColumn="1" w:firstRow="1" w:lastColumn="0" w:lastRow="0" w:noHBand="0" w:noVBand="1" w:val="04A0"/>
        <w:tblW w:w="9360" w:type="dxa"/>
        <w:tblInd w:w="0" w:type="dxa"/>
        <w:tblBorders>
          <w:top w:val="single" w:sz="5" w:color="D9E1E8"/>
          <w:left w:val="single" w:sz="5" w:color="D9E1E8"/>
          <w:bottom w:val="single" w:sz="5" w:color="D9E1E8"/>
          <w:right w:val="single" w:sz="5" w:color="D9E1E8"/>
          <w:insideH w:val="single" w:sz="5" w:color="D9E1E8"/>
          <w:insideV w:val="single" w:sz="5" w:color="D9E1E8"/>
        </w:tblBorders>
      </w:tblPr>
      <w:tblGrid>
        <w:gridCol w:w="9360"/>
      </w:tblGrid>
      <w:tr>
        <w:trPr>
          <w:cantSplit/>
        </w:trPr>
        <w:tc>
          <w:tcPr>
            <w:tcW w:type="dxa" w:w="9360"/>
            <w:tcMar>
              <w:top w:w="75" w:type="dxa"/>
              <w:start w:w="105" w:type="dxa"/>
              <w:bottom w:w="75" w:type="dxa"/>
              <w:end w:w="105" w:type="dxa"/>
            </w:tcMar>
            <w:vAlign w:val="center"/>
            <w:shd w:fill="F7F9FB"/>
          </w:tcPr>
          <w:p>
            <w:pPr>
              <w:pStyle w:val="Code"/>
              <w:spacing w:after="0"/>
            </w:pPr>
            <w:r>
              <w:t>from freshctx import guard, observe, reasoning</w:t>
              <w:br/>
              <w:br/>
              <w:t>with guard(policy="block") as ctx:</w:t>
              <w:br/>
              <w:t xml:space="preserve">    cfg = observe("config.yaml")</w:t>
              <w:br/>
              <w:t xml:space="preserve">    with reasoning("deployment_target", depends_on=[cfg]) as node:</w:t>
              <w:br/>
              <w:t xml:space="preserve">        decision = choose_target(cfg)</w:t>
              <w:br/>
              <w:t xml:space="preserve">    ctx.protect(decision, depends_on=[node])</w:t>
              <w:br/>
              <w:t xml:space="preserve">    agent.run(task)</w:t>
            </w:r>
          </w:p>
        </w:tc>
      </w:tr>
    </w:tbl>
    <w:p>
      <w:pPr>
        <w:pStyle w:val="ListBullet"/>
      </w:pPr>
      <w:r>
        <w:t>guard(policy='block', store=None, run_id=None) MUST establish run context, collect dependencies, enforce before protected boundary exit, and expose the final CheckResult.</w:t>
      </w:r>
    </w:p>
    <w:p>
      <w:pPr>
        <w:pStyle w:val="ListBullet"/>
      </w:pPr>
      <w:r>
        <w:t>observe(locator, adapter=None, **options) MUST select or use an adapter, persist the ObservationToken, and return a reference usable in depends_on.</w:t>
      </w:r>
    </w:p>
    <w:p>
      <w:pPr>
        <w:pStyle w:val="ListBullet"/>
      </w:pPr>
      <w:r>
        <w:t>reasoning(kind, depends_on, metadata=None) MUST create a ReasoningNode on successful context exit. Exceptions MUST be audited and MUST NOT create a valid node.</w:t>
      </w:r>
    </w:p>
    <w:p>
      <w:pPr>
        <w:pStyle w:val="ListBullet"/>
      </w:pPr>
      <w:r>
        <w:t>ctx.protect(value=None, depends_on=..., boundary='output') MUST register what is checked at guard exit. ctx.check(subject=None) MAY trigger an earlier check.</w:t>
      </w:r>
    </w:p>
    <w:p>
      <w:pPr>
        <w:pStyle w:val="ListBullet"/>
      </w:pPr>
      <w:r>
        <w:t>FreshnessBlocked(result) MUST expose a machine-readable CheckResult and a concise safe message. AdapterFailure MUST remain internal unless no CheckResult can be formed.</w:t>
      </w:r>
    </w:p>
    <w:p>
      <w:pPr>
        <w:pStyle w:val="Heading2"/>
      </w:pPr>
      <w:r>
        <w:t>Runtime and storage</w:t>
      </w:r>
    </w:p>
    <w:p>
      <w:pPr>
        <w:pStyle w:val="ListBullet"/>
      </w:pPr>
      <w:r>
        <w:t>Default store: SQLite in .freshctx/freshctx.db with WAL mode and atomic immutable-by-ID writes. Identical repeats are idempotent; conflicting writes fail and preserve the original. MemoryStore follows the same semantics.</w:t>
      </w:r>
    </w:p>
    <w:p>
      <w:pPr>
        <w:pStyle w:val="ListBullet"/>
      </w:pPr>
      <w:r>
        <w:t>Audit sink: .freshctx/audit.jsonl, append-only JSONL. Audit failure under block or refresh policy MUST make the result UNVERIFIABLE and block before the protected action.</w:t>
      </w:r>
    </w:p>
    <w:p>
      <w:pPr>
        <w:pStyle w:val="ListBullet"/>
      </w:pPr>
      <w:r>
        <w:t>Reasoning digest: SHA-256 over canonical JSON containing domain freshctx.reasoning-digest.v1, kind, sorted/deduplicated dependencies, and redacted metadata. Raw prompts, hidden reasoning, model output, and source content are not stored for this digest.</w:t>
      </w:r>
    </w:p>
    <w:p>
      <w:pPr>
        <w:pStyle w:val="ListBullet"/>
      </w:pPr>
      <w:r>
        <w:t>Concurrency: one process MUST support concurrent guards without cross-run dependency leakage. Context propagation SHOULD use contextvars.</w:t>
      </w:r>
    </w:p>
    <w:p>
      <w:pPr>
        <w:pStyle w:val="Heading2"/>
      </w:pPr>
      <w:r>
        <w:t>Operational defaults</w:t>
      </w:r>
    </w:p>
    <w:tbl>
      <w:tblPr>
        <w:tblW w:type="auto" w:w="0"/>
        <w:jc w:val="center"/>
        <w:tblLayout w:type="fixed"/>
        <w:tblLook w:firstColumn="1" w:firstRow="1" w:lastColumn="0" w:lastRow="0" w:noHBand="0" w:noVBand="1" w:val="04A0"/>
        <w:tblW w:w="9360" w:type="dxa"/>
        <w:tblInd w:w="0" w:type="dxa"/>
        <w:tblW w:w="9360" w:type="dxa"/>
        <w:tblInd w:w="0" w:type="dxa"/>
        <w:tblBorders>
          <w:top w:val="single" w:sz="5" w:color="D9E1E8"/>
          <w:left w:val="single" w:sz="5" w:color="D9E1E8"/>
          <w:bottom w:val="single" w:sz="5" w:color="D9E1E8"/>
          <w:right w:val="single" w:sz="5" w:color="D9E1E8"/>
          <w:insideH w:val="single" w:sz="5" w:color="D9E1E8"/>
          <w:insideV w:val="single" w:sz="5" w:color="D9E1E8"/>
        </w:tblBorders>
      </w:tblPr>
      <w:tblGrid>
        <w:gridCol w:w="2500"/>
        <w:gridCol w:w="6860"/>
      </w:tblGrid>
      <w:tr>
        <w:trPr>
          <w:cantSplit/>
        </w:trPr>
        <w:tc>
          <w:tcPr>
            <w:tcW w:type="dxa" w:w="250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Setting</w:t>
            </w:r>
          </w:p>
        </w:tc>
        <w:tc>
          <w:tcPr>
            <w:tcW w:type="dxa" w:w="686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Default</w:t>
            </w:r>
          </w:p>
        </w:tc>
      </w:tr>
      <w:tr>
        <w:trPr>
          <w:cantSplit/>
        </w:trPr>
        <w:tc>
          <w:tcPr>
            <w:tcW w:type="dxa" w:w="2500"/>
            <w:tcMar>
              <w:top w:w="75" w:type="dxa"/>
              <w:start w:w="105" w:type="dxa"/>
              <w:bottom w:w="75" w:type="dxa"/>
              <w:end w:w="105" w:type="dxa"/>
            </w:tcMar>
            <w:vAlign w:val="center"/>
          </w:tcPr>
          <w:p>
            <w:pPr>
              <w:spacing w:after="0"/>
            </w:pPr>
            <w:r>
              <w:rPr>
                <w:sz w:val="16"/>
              </w:rPr>
              <w:t>policy</w:t>
            </w:r>
          </w:p>
        </w:tc>
        <w:tc>
          <w:tcPr>
            <w:tcW w:type="dxa" w:w="6860"/>
            <w:tcMar>
              <w:top w:w="75" w:type="dxa"/>
              <w:start w:w="105" w:type="dxa"/>
              <w:bottom w:w="75" w:type="dxa"/>
              <w:end w:w="105" w:type="dxa"/>
            </w:tcMar>
            <w:vAlign w:val="center"/>
          </w:tcPr>
          <w:p>
            <w:pPr>
              <w:spacing w:after="0"/>
            </w:pPr>
            <w:r>
              <w:rPr>
                <w:sz w:val="16"/>
              </w:rPr>
              <w:t>block</w:t>
            </w:r>
          </w:p>
        </w:tc>
      </w:tr>
      <w:tr>
        <w:trPr>
          <w:cantSplit/>
        </w:trPr>
        <w:tc>
          <w:tcPr>
            <w:tcW w:type="dxa" w:w="2500"/>
            <w:tcMar>
              <w:top w:w="75" w:type="dxa"/>
              <w:start w:w="105" w:type="dxa"/>
              <w:bottom w:w="75" w:type="dxa"/>
              <w:end w:w="105" w:type="dxa"/>
            </w:tcMar>
            <w:vAlign w:val="center"/>
          </w:tcPr>
          <w:p>
            <w:pPr>
              <w:spacing w:after="0"/>
            </w:pPr>
            <w:r>
              <w:rPr>
                <w:sz w:val="16"/>
              </w:rPr>
              <w:t>validation_timeout</w:t>
            </w:r>
          </w:p>
        </w:tc>
        <w:tc>
          <w:tcPr>
            <w:tcW w:type="dxa" w:w="6860"/>
            <w:tcMar>
              <w:top w:w="75" w:type="dxa"/>
              <w:start w:w="105" w:type="dxa"/>
              <w:bottom w:w="75" w:type="dxa"/>
              <w:end w:w="105" w:type="dxa"/>
            </w:tcMar>
            <w:vAlign w:val="center"/>
          </w:tcPr>
          <w:p>
            <w:pPr>
              <w:spacing w:after="0"/>
            </w:pPr>
            <w:r>
              <w:rPr>
                <w:sz w:val="16"/>
              </w:rPr>
              <w:t>5 s per adapter; 15 s aggregate</w:t>
            </w:r>
          </w:p>
        </w:tc>
      </w:tr>
      <w:tr>
        <w:trPr>
          <w:cantSplit/>
        </w:trPr>
        <w:tc>
          <w:tcPr>
            <w:tcW w:type="dxa" w:w="2500"/>
            <w:tcMar>
              <w:top w:w="75" w:type="dxa"/>
              <w:start w:w="105" w:type="dxa"/>
              <w:bottom w:w="75" w:type="dxa"/>
              <w:end w:w="105" w:type="dxa"/>
            </w:tcMar>
            <w:vAlign w:val="center"/>
          </w:tcPr>
          <w:p>
            <w:pPr>
              <w:spacing w:after="0"/>
            </w:pPr>
            <w:r>
              <w:rPr>
                <w:sz w:val="16"/>
              </w:rPr>
              <w:t>HTTP redirects</w:t>
            </w:r>
          </w:p>
        </w:tc>
        <w:tc>
          <w:tcPr>
            <w:tcW w:type="dxa" w:w="6860"/>
            <w:tcMar>
              <w:top w:w="75" w:type="dxa"/>
              <w:start w:w="105" w:type="dxa"/>
              <w:bottom w:w="75" w:type="dxa"/>
              <w:end w:w="105" w:type="dxa"/>
            </w:tcMar>
            <w:vAlign w:val="center"/>
          </w:tcPr>
          <w:p>
            <w:r>
              <w:t>normal urllib redirect behavior; final URL included</w:t>
            </w:r>
          </w:p>
        </w:tc>
      </w:tr>
      <w:tr>
        <w:trPr>
          <w:cantSplit/>
        </w:trPr>
        <w:tc>
          <w:tcPr>
            <w:tcW w:type="dxa" w:w="2500"/>
            <w:tcMar>
              <w:top w:w="75" w:type="dxa"/>
              <w:start w:w="105" w:type="dxa"/>
              <w:bottom w:w="75" w:type="dxa"/>
              <w:end w:w="105" w:type="dxa"/>
            </w:tcMar>
            <w:vAlign w:val="center"/>
          </w:tcPr>
          <w:p>
            <w:pPr>
              <w:spacing w:after="0"/>
            </w:pPr>
            <w:r>
              <w:rPr>
                <w:sz w:val="16"/>
              </w:rPr>
              <w:t>Postgres mode</w:t>
            </w:r>
          </w:p>
        </w:tc>
        <w:tc>
          <w:tcPr>
            <w:tcW w:type="dxa" w:w="6860"/>
            <w:tcMar>
              <w:top w:w="75" w:type="dxa"/>
              <w:start w:w="105" w:type="dxa"/>
              <w:bottom w:w="75" w:type="dxa"/>
              <w:end w:w="105" w:type="dxa"/>
            </w:tcMar>
            <w:vAlign w:val="center"/>
          </w:tcPr>
          <w:p>
            <w:pPr>
              <w:spacing w:after="0"/>
            </w:pPr>
            <w:r>
              <w:rPr>
                <w:sz w:val="16"/>
              </w:rPr>
              <w:t>read-only transaction; statement timeout 5 s</w:t>
            </w:r>
          </w:p>
        </w:tc>
      </w:tr>
      <w:tr>
        <w:trPr>
          <w:cantSplit/>
        </w:trPr>
        <w:tc>
          <w:tcPr>
            <w:tcW w:type="dxa" w:w="2500"/>
            <w:tcMar>
              <w:top w:w="75" w:type="dxa"/>
              <w:start w:w="105" w:type="dxa"/>
              <w:bottom w:w="75" w:type="dxa"/>
              <w:end w:w="105" w:type="dxa"/>
            </w:tcMar>
            <w:vAlign w:val="center"/>
          </w:tcPr>
          <w:p>
            <w:pPr>
              <w:spacing w:after="0"/>
            </w:pPr>
            <w:r>
              <w:rPr>
                <w:sz w:val="16"/>
              </w:rPr>
              <w:t>logging</w:t>
            </w:r>
          </w:p>
        </w:tc>
        <w:tc>
          <w:tcPr>
            <w:tcW w:type="dxa" w:w="6860"/>
            <w:tcMar>
              <w:top w:w="75" w:type="dxa"/>
              <w:start w:w="105" w:type="dxa"/>
              <w:bottom w:w="75" w:type="dxa"/>
              <w:end w:w="105" w:type="dxa"/>
            </w:tcMar>
            <w:vAlign w:val="center"/>
          </w:tcPr>
          <w:p>
            <w:pPr>
              <w:spacing w:after="0"/>
            </w:pPr>
            <w:r>
              <w:rPr>
                <w:sz w:val="16"/>
              </w:rPr>
              <w:t>structured local audit; library logger silent below WARNING</w:t>
            </w:r>
          </w:p>
        </w:tc>
      </w:tr>
    </w:tbl>
    <w:p>
      <w:pPr>
        <w:spacing w:after="0"/>
      </w:pPr>
    </w:p>
    <w:p>
      <w:pPr>
        <w:pStyle w:val="Heading1"/>
      </w:pPr>
      <w:r>
        <w:t>10. Failure, security, and compatibility requirements</w:t>
      </w:r>
    </w:p>
    <w:p>
      <w:pPr>
        <w:pStyle w:val="ListBullet"/>
      </w:pPr>
      <w:r>
        <w:t>FreshCtx MUST fail closed under block policy when storage, audit, adapter loading, graph resolution, or validation is indeterminate.</w:t>
      </w:r>
    </w:p>
    <w:p>
      <w:pPr>
        <w:pStyle w:val="ListBullet"/>
      </w:pPr>
      <w:r>
        <w:t>Common credentials, DSNs, authorization headers, cookies, and query secrets MUST be redacted by default. Callers remain responsible for trusted inputs, secret handling, and access to local records.</w:t>
      </w:r>
    </w:p>
    <w:p>
      <w:pPr>
        <w:pStyle w:val="ListBullet"/>
      </w:pPr>
      <w:r>
        <w:t>Adapters MUST not mutate observed systems during validate(). MCP and HTTP operations that may cause side effects MUST require a separate safe validator or return UNVERIFIABLE.</w:t>
      </w:r>
    </w:p>
    <w:p>
      <w:pPr>
        <w:pStyle w:val="ListBullet"/>
      </w:pPr>
      <w:r>
        <w:t>The package MUST not import any model or agent framework. Optional integrations MUST use extras and degrade to clear import errors.</w:t>
      </w:r>
    </w:p>
    <w:p>
      <w:pPr>
        <w:pStyle w:val="ListBullet"/>
      </w:pPr>
      <w:r>
        <w:t>Schema changes after v0.1 MUST be versioned. Unknown future fields SHOULD be ignored; unknown state or validator versions MUST be UNVERIFIABLE.</w:t>
      </w:r>
    </w:p>
    <w:p>
      <w:pPr>
        <w:pStyle w:val="Heading1"/>
      </w:pPr>
      <w:r>
        <w:t>11. Acceptance tests</w:t>
      </w:r>
    </w:p>
    <w:tbl>
      <w:tblPr>
        <w:tblW w:type="auto" w:w="0"/>
        <w:jc w:val="center"/>
        <w:tblLayout w:type="fixed"/>
        <w:tblLook w:firstColumn="1" w:firstRow="1" w:lastColumn="0" w:lastRow="0" w:noHBand="0" w:noVBand="1" w:val="04A0"/>
        <w:tblW w:w="9360" w:type="dxa"/>
        <w:tblInd w:w="0" w:type="dxa"/>
        <w:tblW w:w="9360" w:type="dxa"/>
        <w:tblInd w:w="0" w:type="dxa"/>
        <w:tblBorders>
          <w:top w:val="single" w:sz="5" w:color="D9E1E8"/>
          <w:left w:val="single" w:sz="5" w:color="D9E1E8"/>
          <w:bottom w:val="single" w:sz="5" w:color="D9E1E8"/>
          <w:right w:val="single" w:sz="5" w:color="D9E1E8"/>
          <w:insideH w:val="single" w:sz="5" w:color="D9E1E8"/>
          <w:insideV w:val="single" w:sz="5" w:color="D9E1E8"/>
        </w:tblBorders>
      </w:tblPr>
      <w:tblGrid>
        <w:gridCol w:w="650"/>
        <w:gridCol w:w="5100"/>
        <w:gridCol w:w="3610"/>
      </w:tblGrid>
      <w:tr>
        <w:trPr>
          <w:cantSplit/>
        </w:trPr>
        <w:tc>
          <w:tcPr>
            <w:tcW w:type="dxa" w:w="65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ID</w:t>
            </w:r>
          </w:p>
        </w:tc>
        <w:tc>
          <w:tcPr>
            <w:tcW w:type="dxa" w:w="510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Given / when</w:t>
            </w:r>
          </w:p>
        </w:tc>
        <w:tc>
          <w:tcPr>
            <w:tcW w:type="dxa" w:w="3610"/>
            <w:tcMar>
              <w:top w:w="75" w:type="dxa"/>
              <w:start w:w="105" w:type="dxa"/>
              <w:bottom w:w="75" w:type="dxa"/>
              <w:end w:w="105" w:type="dxa"/>
              <w:top w:w="75" w:type="dxa"/>
              <w:start w:w="105" w:type="dxa"/>
              <w:bottom w:w="75" w:type="dxa"/>
              <w:end w:w="105" w:type="dxa"/>
            </w:tcMar>
            <w:vAlign w:val="center"/>
            <w:shd w:fill="F2F4F7"/>
          </w:tcPr>
          <w:p>
            <w:pPr>
              <w:spacing w:after="0"/>
            </w:pPr>
            <w:r>
              <w:rPr>
                <w:b/>
                <w:color w:val="2369A5"/>
                <w:sz w:val="16"/>
              </w:rPr>
              <w:t>Required result</w:t>
            </w:r>
          </w:p>
        </w:tc>
      </w:tr>
      <w:tr>
        <w:trPr>
          <w:cantSplit/>
        </w:trPr>
        <w:tc>
          <w:tcPr>
            <w:tcW w:type="dxa" w:w="650"/>
            <w:tcMar>
              <w:top w:w="75" w:type="dxa"/>
              <w:start w:w="105" w:type="dxa"/>
              <w:bottom w:w="75" w:type="dxa"/>
              <w:end w:w="105" w:type="dxa"/>
            </w:tcMar>
            <w:vAlign w:val="center"/>
          </w:tcPr>
          <w:p>
            <w:pPr>
              <w:spacing w:after="0"/>
            </w:pPr>
            <w:r>
              <w:rPr>
                <w:sz w:val="16"/>
              </w:rPr>
              <w:t>A1</w:t>
            </w:r>
          </w:p>
        </w:tc>
        <w:tc>
          <w:tcPr>
            <w:tcW w:type="dxa" w:w="5100"/>
            <w:tcMar>
              <w:top w:w="75" w:type="dxa"/>
              <w:start w:w="105" w:type="dxa"/>
              <w:bottom w:w="75" w:type="dxa"/>
              <w:end w:w="105" w:type="dxa"/>
            </w:tcMar>
            <w:vAlign w:val="center"/>
          </w:tcPr>
          <w:p>
            <w:pPr>
              <w:spacing w:after="0"/>
            </w:pPr>
            <w:r>
              <w:rPr>
                <w:sz w:val="16"/>
              </w:rPr>
              <w:t>Observe a file, create dependent reasoning, leave file unchanged, then enforce.</w:t>
            </w:r>
          </w:p>
        </w:tc>
        <w:tc>
          <w:tcPr>
            <w:tcW w:type="dxa" w:w="3610"/>
            <w:tcMar>
              <w:top w:w="75" w:type="dxa"/>
              <w:start w:w="105" w:type="dxa"/>
              <w:bottom w:w="75" w:type="dxa"/>
              <w:end w:w="105" w:type="dxa"/>
            </w:tcMar>
            <w:vAlign w:val="center"/>
          </w:tcPr>
          <w:p>
            <w:pPr>
              <w:spacing w:after="0"/>
            </w:pPr>
            <w:r>
              <w:rPr>
                <w:sz w:val="16"/>
              </w:rPr>
              <w:t>CURRENT; action allowed; audit contains dependency path and equivalent validation.</w:t>
            </w:r>
          </w:p>
        </w:tc>
      </w:tr>
      <w:tr>
        <w:trPr>
          <w:cantSplit/>
        </w:trPr>
        <w:tc>
          <w:tcPr>
            <w:tcW w:type="dxa" w:w="650"/>
            <w:tcMar>
              <w:top w:w="75" w:type="dxa"/>
              <w:start w:w="105" w:type="dxa"/>
              <w:bottom w:w="75" w:type="dxa"/>
              <w:end w:w="105" w:type="dxa"/>
            </w:tcMar>
            <w:vAlign w:val="center"/>
          </w:tcPr>
          <w:p>
            <w:pPr>
              <w:spacing w:after="0"/>
            </w:pPr>
            <w:r>
              <w:rPr>
                <w:sz w:val="16"/>
              </w:rPr>
              <w:t>A2</w:t>
            </w:r>
          </w:p>
        </w:tc>
        <w:tc>
          <w:tcPr>
            <w:tcW w:type="dxa" w:w="5100"/>
            <w:tcMar>
              <w:top w:w="75" w:type="dxa"/>
              <w:start w:w="105" w:type="dxa"/>
              <w:bottom w:w="75" w:type="dxa"/>
              <w:end w:w="105" w:type="dxa"/>
            </w:tcMar>
            <w:vAlign w:val="center"/>
          </w:tcPr>
          <w:p>
            <w:pPr>
              <w:spacing w:after="0"/>
            </w:pPr>
            <w:r>
              <w:rPr>
                <w:sz w:val="16"/>
              </w:rPr>
              <w:t>Repeat A1, but alter file bytes while preserving filename.</w:t>
            </w:r>
          </w:p>
        </w:tc>
        <w:tc>
          <w:tcPr>
            <w:tcW w:type="dxa" w:w="3610"/>
            <w:tcMar>
              <w:top w:w="75" w:type="dxa"/>
              <w:start w:w="105" w:type="dxa"/>
              <w:bottom w:w="75" w:type="dxa"/>
              <w:end w:w="105" w:type="dxa"/>
            </w:tcMar>
            <w:vAlign w:val="center"/>
          </w:tcPr>
          <w:p>
            <w:pPr>
              <w:spacing w:after="0"/>
            </w:pPr>
            <w:r>
              <w:rPr>
                <w:sz w:val="16"/>
              </w:rPr>
              <w:t>Observation STALE_SOURCE; reasoning STALE_REASONING; block policy raises FreshnessBlocked before action.</w:t>
            </w:r>
          </w:p>
        </w:tc>
      </w:tr>
      <w:tr>
        <w:trPr>
          <w:cantSplit/>
        </w:trPr>
        <w:tc>
          <w:tcPr>
            <w:tcW w:type="dxa" w:w="650"/>
            <w:tcMar>
              <w:top w:w="75" w:type="dxa"/>
              <w:start w:w="105" w:type="dxa"/>
              <w:bottom w:w="75" w:type="dxa"/>
              <w:end w:w="105" w:type="dxa"/>
            </w:tcMar>
            <w:vAlign w:val="center"/>
          </w:tcPr>
          <w:p>
            <w:pPr>
              <w:spacing w:after="0"/>
            </w:pPr>
            <w:r>
              <w:rPr>
                <w:sz w:val="16"/>
              </w:rPr>
              <w:t>A3</w:t>
            </w:r>
          </w:p>
        </w:tc>
        <w:tc>
          <w:tcPr>
            <w:tcW w:type="dxa" w:w="5100"/>
            <w:tcMar>
              <w:top w:w="75" w:type="dxa"/>
              <w:start w:w="105" w:type="dxa"/>
              <w:bottom w:w="75" w:type="dxa"/>
              <w:end w:w="105" w:type="dxa"/>
            </w:tcMar>
            <w:vAlign w:val="center"/>
          </w:tcPr>
          <w:p>
            <w:pPr>
              <w:spacing w:after="0"/>
            </w:pPr>
            <w:r>
              <w:rPr>
                <w:sz w:val="16"/>
              </w:rPr>
              <w:t>HTTP token has strong ETag; conditional validation returns 304.</w:t>
            </w:r>
          </w:p>
        </w:tc>
        <w:tc>
          <w:tcPr>
            <w:tcW w:type="dxa" w:w="3610"/>
            <w:tcMar>
              <w:top w:w="75" w:type="dxa"/>
              <w:start w:w="105" w:type="dxa"/>
              <w:bottom w:w="75" w:type="dxa"/>
              <w:end w:w="105" w:type="dxa"/>
            </w:tcMar>
            <w:vAlign w:val="center"/>
          </w:tcPr>
          <w:p>
            <w:pPr>
              <w:spacing w:after="0"/>
            </w:pPr>
            <w:r>
              <w:rPr>
                <w:sz w:val="16"/>
              </w:rPr>
              <w:t>CURRENT without downloading a full body; safe validator evidence audited.</w:t>
            </w:r>
          </w:p>
        </w:tc>
      </w:tr>
      <w:tr>
        <w:trPr>
          <w:cantSplit/>
        </w:trPr>
        <w:tc>
          <w:tcPr>
            <w:tcW w:type="dxa" w:w="650"/>
            <w:tcMar>
              <w:top w:w="75" w:type="dxa"/>
              <w:start w:w="105" w:type="dxa"/>
              <w:bottom w:w="75" w:type="dxa"/>
              <w:end w:w="105" w:type="dxa"/>
            </w:tcMar>
            <w:vAlign w:val="center"/>
          </w:tcPr>
          <w:p>
            <w:pPr>
              <w:spacing w:after="0"/>
            </w:pPr>
            <w:r>
              <w:rPr>
                <w:sz w:val="16"/>
              </w:rPr>
              <w:t>A4</w:t>
            </w:r>
          </w:p>
        </w:tc>
        <w:tc>
          <w:tcPr>
            <w:tcW w:type="dxa" w:w="5100"/>
            <w:tcMar>
              <w:top w:w="75" w:type="dxa"/>
              <w:start w:w="105" w:type="dxa"/>
              <w:bottom w:w="75" w:type="dxa"/>
              <w:end w:w="105" w:type="dxa"/>
            </w:tcMar>
            <w:vAlign w:val="center"/>
          </w:tcPr>
          <w:p>
            <w:pPr>
              <w:spacing w:after="0"/>
            </w:pPr>
            <w:r>
              <w:rPr>
                <w:sz w:val="16"/>
              </w:rPr>
              <w:t>HTTP validation times out.</w:t>
            </w:r>
          </w:p>
        </w:tc>
        <w:tc>
          <w:tcPr>
            <w:tcW w:type="dxa" w:w="3610"/>
            <w:tcMar>
              <w:top w:w="75" w:type="dxa"/>
              <w:start w:w="105" w:type="dxa"/>
              <w:bottom w:w="75" w:type="dxa"/>
              <w:end w:w="105" w:type="dxa"/>
            </w:tcMar>
            <w:vAlign w:val="center"/>
          </w:tcPr>
          <w:p>
            <w:pPr>
              <w:spacing w:after="0"/>
            </w:pPr>
            <w:r>
              <w:rPr>
                <w:sz w:val="16"/>
              </w:rPr>
              <w:t>UNVERIFIABLE; block blocks, warn allows with warning, allow permits with audit flag.</w:t>
            </w:r>
          </w:p>
        </w:tc>
      </w:tr>
      <w:tr>
        <w:trPr>
          <w:cantSplit/>
        </w:trPr>
        <w:tc>
          <w:tcPr>
            <w:tcW w:type="dxa" w:w="650"/>
            <w:tcMar>
              <w:top w:w="75" w:type="dxa"/>
              <w:start w:w="105" w:type="dxa"/>
              <w:bottom w:w="75" w:type="dxa"/>
              <w:end w:w="105" w:type="dxa"/>
            </w:tcMar>
            <w:vAlign w:val="center"/>
          </w:tcPr>
          <w:p>
            <w:pPr>
              <w:spacing w:after="0"/>
            </w:pPr>
            <w:r>
              <w:rPr>
                <w:sz w:val="16"/>
              </w:rPr>
              <w:t>A5</w:t>
            </w:r>
          </w:p>
        </w:tc>
        <w:tc>
          <w:tcPr>
            <w:tcW w:type="dxa" w:w="5100"/>
            <w:tcMar>
              <w:top w:w="75" w:type="dxa"/>
              <w:start w:w="105" w:type="dxa"/>
              <w:bottom w:w="75" w:type="dxa"/>
              <w:end w:w="105" w:type="dxa"/>
            </w:tcMar>
            <w:vAlign w:val="center"/>
          </w:tcPr>
          <w:p>
            <w:pPr>
              <w:spacing w:after="0"/>
            </w:pPr>
            <w:r>
              <w:rPr>
                <w:sz w:val="16"/>
              </w:rPr>
              <w:t>Git ref advances but selected path tree SHA is unchanged and token scope is path.</w:t>
            </w:r>
          </w:p>
        </w:tc>
        <w:tc>
          <w:tcPr>
            <w:tcW w:type="dxa" w:w="3610"/>
            <w:tcMar>
              <w:top w:w="75" w:type="dxa"/>
              <w:start w:w="105" w:type="dxa"/>
              <w:bottom w:w="75" w:type="dxa"/>
              <w:end w:w="105" w:type="dxa"/>
            </w:tcMar>
            <w:vAlign w:val="center"/>
          </w:tcPr>
          <w:p>
            <w:pPr>
              <w:spacing w:after="0"/>
            </w:pPr>
            <w:r>
              <w:rPr>
                <w:sz w:val="16"/>
              </w:rPr>
              <w:t>CURRENT. Repo-scoped token for the same advance is STALE_SOURCE.</w:t>
            </w:r>
          </w:p>
        </w:tc>
      </w:tr>
      <w:tr>
        <w:trPr>
          <w:cantSplit/>
        </w:trPr>
        <w:tc>
          <w:tcPr>
            <w:tcW w:type="dxa" w:w="650"/>
            <w:tcMar>
              <w:top w:w="75" w:type="dxa"/>
              <w:start w:w="105" w:type="dxa"/>
              <w:bottom w:w="75" w:type="dxa"/>
              <w:end w:w="105" w:type="dxa"/>
            </w:tcMar>
            <w:vAlign w:val="center"/>
          </w:tcPr>
          <w:p>
            <w:pPr>
              <w:spacing w:after="0"/>
            </w:pPr>
            <w:r>
              <w:rPr>
                <w:sz w:val="16"/>
              </w:rPr>
              <w:t>A6</w:t>
            </w:r>
          </w:p>
        </w:tc>
        <w:tc>
          <w:tcPr>
            <w:tcW w:type="dxa" w:w="5100"/>
            <w:tcMar>
              <w:top w:w="75" w:type="dxa"/>
              <w:start w:w="105" w:type="dxa"/>
              <w:bottom w:w="75" w:type="dxa"/>
              <w:end w:w="105" w:type="dxa"/>
            </w:tcMar>
            <w:vAlign w:val="center"/>
          </w:tcPr>
          <w:p>
            <w:pPr>
              <w:spacing w:after="0"/>
            </w:pPr>
            <w:r>
              <w:rPr>
                <w:sz w:val="16"/>
              </w:rPr>
              <w:t>Postgres result changes order only for a query declared unordered.</w:t>
            </w:r>
          </w:p>
        </w:tc>
        <w:tc>
          <w:tcPr>
            <w:tcW w:type="dxa" w:w="3610"/>
            <w:tcMar>
              <w:top w:w="75" w:type="dxa"/>
              <w:start w:w="105" w:type="dxa"/>
              <w:bottom w:w="75" w:type="dxa"/>
              <w:end w:w="105" w:type="dxa"/>
            </w:tcMar>
            <w:vAlign w:val="center"/>
          </w:tcPr>
          <w:p>
            <w:pPr>
              <w:spacing w:after="0"/>
            </w:pPr>
            <w:r>
              <w:rPr>
                <w:sz w:val="16"/>
              </w:rPr>
              <w:t>CURRENT after canonical row ordering; an ordered query MUST detect order change.</w:t>
            </w:r>
          </w:p>
        </w:tc>
      </w:tr>
      <w:tr>
        <w:trPr>
          <w:cantSplit/>
        </w:trPr>
        <w:tc>
          <w:tcPr>
            <w:tcW w:type="dxa" w:w="650"/>
            <w:tcMar>
              <w:top w:w="75" w:type="dxa"/>
              <w:start w:w="105" w:type="dxa"/>
              <w:bottom w:w="75" w:type="dxa"/>
              <w:end w:w="105" w:type="dxa"/>
            </w:tcMar>
            <w:vAlign w:val="center"/>
          </w:tcPr>
          <w:p>
            <w:pPr>
              <w:spacing w:after="0"/>
            </w:pPr>
            <w:r>
              <w:rPr>
                <w:sz w:val="16"/>
              </w:rPr>
              <w:t>A7</w:t>
            </w:r>
          </w:p>
        </w:tc>
        <w:tc>
          <w:tcPr>
            <w:tcW w:type="dxa" w:w="5100"/>
            <w:tcMar>
              <w:top w:w="75" w:type="dxa"/>
              <w:start w:w="105" w:type="dxa"/>
              <w:bottom w:w="75" w:type="dxa"/>
              <w:end w:w="105" w:type="dxa"/>
            </w:tcMar>
            <w:vAlign w:val="center"/>
          </w:tcPr>
          <w:p>
            <w:pPr>
              <w:spacing w:after="0"/>
            </w:pPr>
            <w:r>
              <w:rPr>
                <w:sz w:val="16"/>
              </w:rPr>
              <w:t>MCP tool is non-idempotent and lacks a read validator.</w:t>
            </w:r>
          </w:p>
        </w:tc>
        <w:tc>
          <w:tcPr>
            <w:tcW w:type="dxa" w:w="3610"/>
            <w:tcMar>
              <w:top w:w="75" w:type="dxa"/>
              <w:start w:w="105" w:type="dxa"/>
              <w:bottom w:w="75" w:type="dxa"/>
              <w:end w:w="105" w:type="dxa"/>
            </w:tcMar>
            <w:vAlign w:val="center"/>
          </w:tcPr>
          <w:p>
            <w:pPr>
              <w:spacing w:after="0"/>
            </w:pPr>
            <w:r>
              <w:rPr>
                <w:sz w:val="16"/>
              </w:rPr>
              <w:t>UNVERIFIABLE; tool is not reinvoked by validate().</w:t>
            </w:r>
          </w:p>
        </w:tc>
      </w:tr>
      <w:tr>
        <w:trPr>
          <w:cantSplit/>
        </w:trPr>
        <w:tc>
          <w:tcPr>
            <w:tcW w:type="dxa" w:w="650"/>
            <w:tcMar>
              <w:top w:w="75" w:type="dxa"/>
              <w:start w:w="105" w:type="dxa"/>
              <w:bottom w:w="75" w:type="dxa"/>
              <w:end w:w="105" w:type="dxa"/>
            </w:tcMar>
            <w:vAlign w:val="center"/>
          </w:tcPr>
          <w:p>
            <w:pPr>
              <w:spacing w:after="0"/>
            </w:pPr>
            <w:r>
              <w:rPr>
                <w:sz w:val="16"/>
              </w:rPr>
              <w:t>A8</w:t>
            </w:r>
          </w:p>
        </w:tc>
        <w:tc>
          <w:tcPr>
            <w:tcW w:type="dxa" w:w="5100"/>
            <w:tcMar>
              <w:top w:w="75" w:type="dxa"/>
              <w:start w:w="105" w:type="dxa"/>
              <w:bottom w:w="75" w:type="dxa"/>
              <w:end w:w="105" w:type="dxa"/>
            </w:tcMar>
            <w:vAlign w:val="center"/>
          </w:tcPr>
          <w:p>
            <w:pPr>
              <w:spacing w:after="0"/>
            </w:pPr>
            <w:r>
              <w:rPr>
                <w:sz w:val="16"/>
              </w:rPr>
              <w:t>Reasoning graph contains a cycle or missing dependency.</w:t>
            </w:r>
          </w:p>
        </w:tc>
        <w:tc>
          <w:tcPr>
            <w:tcW w:type="dxa" w:w="3610"/>
            <w:tcMar>
              <w:top w:w="75" w:type="dxa"/>
              <w:start w:w="105" w:type="dxa"/>
              <w:bottom w:w="75" w:type="dxa"/>
              <w:end w:w="105" w:type="dxa"/>
            </w:tcMar>
            <w:vAlign w:val="center"/>
          </w:tcPr>
          <w:p>
            <w:pPr>
              <w:spacing w:after="0"/>
            </w:pPr>
            <w:r>
              <w:rPr>
                <w:sz w:val="16"/>
              </w:rPr>
              <w:t>UNVERIFIABLE with graph error code and involved IDs; no recursion failure.</w:t>
            </w:r>
          </w:p>
        </w:tc>
      </w:tr>
      <w:tr>
        <w:trPr>
          <w:cantSplit/>
        </w:trPr>
        <w:tc>
          <w:tcPr>
            <w:tcW w:type="dxa" w:w="650"/>
            <w:tcMar>
              <w:top w:w="75" w:type="dxa"/>
              <w:start w:w="105" w:type="dxa"/>
              <w:bottom w:w="75" w:type="dxa"/>
              <w:end w:w="105" w:type="dxa"/>
            </w:tcMar>
            <w:vAlign w:val="center"/>
          </w:tcPr>
          <w:p>
            <w:pPr>
              <w:spacing w:after="0"/>
            </w:pPr>
            <w:r>
              <w:rPr>
                <w:sz w:val="16"/>
              </w:rPr>
              <w:t>A9</w:t>
            </w:r>
          </w:p>
        </w:tc>
        <w:tc>
          <w:tcPr>
            <w:tcW w:type="dxa" w:w="5100"/>
            <w:tcMar>
              <w:top w:w="75" w:type="dxa"/>
              <w:start w:w="105" w:type="dxa"/>
              <w:bottom w:w="75" w:type="dxa"/>
              <w:end w:w="105" w:type="dxa"/>
            </w:tcMar>
            <w:vAlign w:val="center"/>
          </w:tcPr>
          <w:p>
            <w:pPr>
              <w:spacing w:after="0"/>
            </w:pPr>
            <w:r>
              <w:rPr>
                <w:sz w:val="16"/>
              </w:rPr>
              <w:t>refresh policy detects stale source and callback rebuilds tokens/reasoning.</w:t>
            </w:r>
          </w:p>
        </w:tc>
        <w:tc>
          <w:tcPr>
            <w:tcW w:type="dxa" w:w="3610"/>
            <w:tcMar>
              <w:top w:w="75" w:type="dxa"/>
              <w:start w:w="105" w:type="dxa"/>
              <w:bottom w:w="75" w:type="dxa"/>
              <w:end w:w="105" w:type="dxa"/>
            </w:tcMar>
            <w:vAlign w:val="center"/>
          </w:tcPr>
          <w:p>
            <w:pPr>
              <w:spacing w:after="0"/>
            </w:pPr>
            <w:r>
              <w:rPr>
                <w:sz w:val="16"/>
              </w:rPr>
              <w:t>Exactly one refresh; recheck CURRENT allows action. Failed/still-stale refresh blocks.</w:t>
            </w:r>
          </w:p>
        </w:tc>
      </w:tr>
      <w:tr>
        <w:trPr>
          <w:cantSplit/>
        </w:trPr>
        <w:tc>
          <w:tcPr>
            <w:tcW w:type="dxa" w:w="650"/>
            <w:tcMar>
              <w:top w:w="75" w:type="dxa"/>
              <w:start w:w="105" w:type="dxa"/>
              <w:bottom w:w="75" w:type="dxa"/>
              <w:end w:w="105" w:type="dxa"/>
            </w:tcMar>
            <w:vAlign w:val="center"/>
          </w:tcPr>
          <w:p>
            <w:pPr>
              <w:spacing w:after="0"/>
            </w:pPr>
            <w:r>
              <w:rPr>
                <w:sz w:val="16"/>
              </w:rPr>
              <w:t>A10</w:t>
            </w:r>
          </w:p>
        </w:tc>
        <w:tc>
          <w:tcPr>
            <w:tcW w:type="dxa" w:w="5100"/>
            <w:tcMar>
              <w:top w:w="75" w:type="dxa"/>
              <w:start w:w="105" w:type="dxa"/>
              <w:bottom w:w="75" w:type="dxa"/>
              <w:end w:w="105" w:type="dxa"/>
            </w:tcMar>
            <w:vAlign w:val="center"/>
          </w:tcPr>
          <w:p>
            <w:pPr>
              <w:spacing w:after="0"/>
            </w:pPr>
            <w:r>
              <w:rPr>
                <w:sz w:val="16"/>
              </w:rPr>
              <w:t>Two concurrent guards observe different files.</w:t>
            </w:r>
          </w:p>
        </w:tc>
        <w:tc>
          <w:tcPr>
            <w:tcW w:type="dxa" w:w="3610"/>
            <w:tcMar>
              <w:top w:w="75" w:type="dxa"/>
              <w:start w:w="105" w:type="dxa"/>
              <w:bottom w:w="75" w:type="dxa"/>
              <w:end w:w="105" w:type="dxa"/>
            </w:tcMar>
            <w:vAlign w:val="center"/>
          </w:tcPr>
          <w:p>
            <w:pPr>
              <w:spacing w:after="0"/>
            </w:pPr>
            <w:r>
              <w:rPr>
                <w:sz w:val="16"/>
              </w:rPr>
              <w:t>Audit and dependencies remain isolated by run_id; no token leakage.</w:t>
            </w:r>
          </w:p>
        </w:tc>
      </w:tr>
      <w:tr>
        <w:trPr>
          <w:cantSplit/>
        </w:trPr>
        <w:tc>
          <w:tcPr>
            <w:tcW w:type="dxa" w:w="650"/>
            <w:tcMar>
              <w:top w:w="75" w:type="dxa"/>
              <w:start w:w="105" w:type="dxa"/>
              <w:bottom w:w="75" w:type="dxa"/>
              <w:end w:w="105" w:type="dxa"/>
            </w:tcMar>
            <w:vAlign w:val="center"/>
          </w:tcPr>
          <w:p>
            <w:pPr>
              <w:spacing w:after="0"/>
            </w:pPr>
            <w:r>
              <w:rPr>
                <w:sz w:val="16"/>
              </w:rPr>
              <w:t>A11</w:t>
            </w:r>
          </w:p>
        </w:tc>
        <w:tc>
          <w:tcPr>
            <w:tcW w:type="dxa" w:w="5100"/>
            <w:tcMar>
              <w:top w:w="75" w:type="dxa"/>
              <w:start w:w="105" w:type="dxa"/>
              <w:bottom w:w="75" w:type="dxa"/>
              <w:end w:w="105" w:type="dxa"/>
            </w:tcMar>
            <w:vAlign w:val="center"/>
          </w:tcPr>
          <w:p>
            <w:pPr>
              <w:spacing w:after="0"/>
            </w:pPr>
            <w:r>
              <w:rPr>
                <w:sz w:val="16"/>
              </w:rPr>
              <w:t>Audit sink becomes unwritable under block policy.</w:t>
            </w:r>
          </w:p>
        </w:tc>
        <w:tc>
          <w:tcPr>
            <w:tcW w:type="dxa" w:w="3610"/>
            <w:tcMar>
              <w:top w:w="75" w:type="dxa"/>
              <w:start w:w="105" w:type="dxa"/>
              <w:bottom w:w="75" w:type="dxa"/>
              <w:end w:w="105" w:type="dxa"/>
            </w:tcMar>
            <w:vAlign w:val="center"/>
          </w:tcPr>
          <w:p>
            <w:pPr>
              <w:spacing w:after="0"/>
            </w:pPr>
            <w:r>
              <w:rPr>
                <w:sz w:val="16"/>
              </w:rPr>
              <w:t>UNVERIFIABLE and blocked before protected action.</w:t>
            </w:r>
          </w:p>
        </w:tc>
      </w:tr>
      <w:tr>
        <w:trPr>
          <w:cantSplit/>
        </w:trPr>
        <w:tc>
          <w:tcPr>
            <w:tcW w:type="dxa" w:w="650"/>
            <w:tcMar>
              <w:top w:w="75" w:type="dxa"/>
              <w:start w:w="105" w:type="dxa"/>
              <w:bottom w:w="75" w:type="dxa"/>
              <w:end w:w="105" w:type="dxa"/>
            </w:tcMar>
            <w:vAlign w:val="center"/>
          </w:tcPr>
          <w:p>
            <w:pPr>
              <w:spacing w:after="0"/>
            </w:pPr>
            <w:r>
              <w:rPr>
                <w:sz w:val="16"/>
              </w:rPr>
              <w:t>A12</w:t>
            </w:r>
          </w:p>
        </w:tc>
        <w:tc>
          <w:tcPr>
            <w:tcW w:type="dxa" w:w="5100"/>
            <w:tcMar>
              <w:top w:w="75" w:type="dxa"/>
              <w:start w:w="105" w:type="dxa"/>
              <w:bottom w:w="75" w:type="dxa"/>
              <w:end w:w="105" w:type="dxa"/>
            </w:tcMar>
            <w:vAlign w:val="center"/>
          </w:tcPr>
          <w:p>
            <w:pPr>
              <w:spacing w:after="0"/>
            </w:pPr>
            <w:r>
              <w:rPr>
                <w:sz w:val="16"/>
              </w:rPr>
              <w:t>Token/audit metadata contains a DSN password or Authorization header.</w:t>
            </w:r>
          </w:p>
        </w:tc>
        <w:tc>
          <w:tcPr>
            <w:tcW w:type="dxa" w:w="3610"/>
            <w:tcMar>
              <w:top w:w="75" w:type="dxa"/>
              <w:start w:w="105" w:type="dxa"/>
              <w:bottom w:w="75" w:type="dxa"/>
              <w:end w:w="105" w:type="dxa"/>
            </w:tcMar>
            <w:vAlign w:val="center"/>
          </w:tcPr>
          <w:p>
            <w:pPr>
              <w:spacing w:after="0"/>
            </w:pPr>
            <w:r>
              <w:rPr>
                <w:sz w:val="16"/>
              </w:rPr>
              <w:t>Persisted and logged values are redacted; functional validation still succeeds with runtime credentials.</w:t>
            </w:r>
          </w:p>
        </w:tc>
      </w:tr>
    </w:tbl>
    <w:p>
      <w:pPr>
        <w:spacing w:after="0"/>
      </w:pPr>
    </w:p>
    <w:p>
      <w:pPr>
        <w:pStyle w:val="Heading1"/>
      </w:pPr>
      <w:r>
        <w:t>12. Non-goals and release gate</w:t>
      </w:r>
    </w:p>
    <w:p>
      <w:pPr>
        <w:spacing w:after="60"/>
      </w:pPr>
      <w:r>
        <w:t>v0.1 does not provide factuality checking, authorization, compliance guarantees, memory, context capture, session restoration, model portability, vector storage, distributed consensus, hosted services, or complete replay. It checks reachable declared evidence and dependent reasoning; undeclared dependencies are outside its guarantee.</w:t>
      </w:r>
    </w:p>
    <w:p>
      <w:pPr>
        <w:spacing w:after="60"/>
      </w:pPr>
      <w:r>
        <w:rPr>
          <w:b/>
        </w:rPr>
        <w:t xml:space="preserve">Release gate: </w:t>
      </w:r>
      <w:r>
        <w:t>all A1-A12 tests pass on Python 3.10-3.13; filesystem and Git adapters are production-ready; HTTP, Postgres, and MCP meet the adapter contract; public API is documented; Apache-2.0 license and security policy are present; installation and the stale-config demonstration work in a clean environment; no network telemetry occurs.</w:t>
      </w:r>
    </w:p>
    <w:sectPr w:rsidR="00FC693F" w:rsidRPr="0006063C" w:rsidSect="00034616">
      <w:headerReference w:type="default" r:id="rId9"/>
      <w:footerReference w:type="default" r:id="rId10"/>
      <w:pgSz w:w="12240" w:h="15840"/>
      <w:pgMar w:top="1037" w:right="1037" w:bottom="1037"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FreshCtx v0.1  •  Supporting release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07980"/>
        <w:sz w:val="15"/>
      </w:rPr>
      <w:t>FRESHCTX  /  v0.1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60"/>
      </w:pPr>
    </w:lvl>
  </w:abstractNum>
  <w:num w:numId="10">
    <w:abstractNumId w:val="9"/>
  </w:num>
  <w:abstractNum w:abstractNumId="10">
    <w:multiLevelType w:val="singleLevel"/>
    <w:lvl w:ilvl="0">
      <w:start w:val="1"/>
      <w:numFmt w:val="decimal"/>
      <w:lvlText w:val="%1."/>
      <w:suff w:val="tab"/>
      <w:pPr>
        <w:tabs>
          <w:tab w:val="num" w:pos="540"/>
        </w:tabs>
        <w:ind w:left="540" w:hanging="2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326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369A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369A5"/>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F4D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7" w:lineRule="auto"/>
      <w:ind w:left="403" w:hanging="230"/>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7" w:lineRule="auto"/>
      <w:ind w:left="403" w:hanging="230"/>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40" w:lineRule="auto"/>
    </w:pPr>
    <w:rPr>
      <w:rFonts w:ascii="Aptos Mono" w:hAnsi="Aptos Mono"/>
      <w:color w:val="13263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FreshCtx v0.1 Technical Specification</dc:title>
  <dc:subject>Authoritative implementation and acceptance-test baseline</dc:subject>
  <dc:creator>python-docx</dc:creator>
  <cp:keywords>FreshCtx, freshness, AI agents, ObservationToken, ReasoningNode,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