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Default="008B6CB0">
      <w:pPr>
        <w:pStyle w:val="Rubrik1"/>
        <w:rPr>
          <w:lang w:val="en-US"/>
        </w:rPr>
      </w:pPr>
      <w:bookmarkStart w:id="0" w:name="Rubrik"/>
    </w:p>
    <w:p w:rsidR="008C2B03" w:rsidRPr="00BA3DB1" w:rsidRDefault="00BC27F7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Akut trombocytopeni, framförallt ITP - BARN"/>
            </w:textInput>
          </w:ffData>
        </w:fldChar>
      </w:r>
      <w:r w:rsidR="00BA3DB1" w:rsidRPr="00BA3DB1">
        <w:instrText xml:space="preserve"> FORMTEXT </w:instrText>
      </w:r>
      <w:r w:rsidR="00414A64">
        <w:rPr>
          <w:lang w:val="en-US"/>
        </w:rPr>
      </w:r>
      <w:r>
        <w:rPr>
          <w:lang w:val="en-US"/>
        </w:rPr>
        <w:fldChar w:fldCharType="separate"/>
      </w:r>
      <w:proofErr w:type="spellStart"/>
      <w:r w:rsidR="00414A64">
        <w:rPr>
          <w:lang w:val="en-US"/>
        </w:rPr>
        <w:t>Akut</w:t>
      </w:r>
      <w:proofErr w:type="spellEnd"/>
      <w:r w:rsidR="00414A64">
        <w:rPr>
          <w:lang w:val="en-US"/>
        </w:rPr>
        <w:t xml:space="preserve"> </w:t>
      </w:r>
      <w:proofErr w:type="spellStart"/>
      <w:r w:rsidR="00414A64">
        <w:rPr>
          <w:lang w:val="en-US"/>
        </w:rPr>
        <w:t>trombocytopeni</w:t>
      </w:r>
      <w:proofErr w:type="spellEnd"/>
      <w:r w:rsidR="00414A64">
        <w:rPr>
          <w:lang w:val="en-US"/>
        </w:rPr>
        <w:t xml:space="preserve">, </w:t>
      </w:r>
      <w:proofErr w:type="spellStart"/>
      <w:r w:rsidR="00414A64">
        <w:rPr>
          <w:lang w:val="en-US"/>
        </w:rPr>
        <w:t>framförallt</w:t>
      </w:r>
      <w:proofErr w:type="spellEnd"/>
      <w:r w:rsidR="00414A64">
        <w:rPr>
          <w:lang w:val="en-US"/>
        </w:rPr>
        <w:t xml:space="preserve"> ITP - BARN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9D2946" w:rsidRPr="00DF26E3" w:rsidRDefault="009D2946" w:rsidP="00730505"/>
    <w:p w:rsidR="0099596B" w:rsidRPr="005759BD" w:rsidRDefault="0099596B" w:rsidP="0099596B">
      <w:pPr>
        <w:rPr>
          <w:rFonts w:ascii="Verdana" w:hAnsi="Verdana"/>
          <w:b/>
        </w:rPr>
      </w:pPr>
      <w:r w:rsidRPr="005759BD">
        <w:rPr>
          <w:rFonts w:ascii="Verdana" w:hAnsi="Verdana"/>
          <w:b/>
        </w:rPr>
        <w:t>Definition</w:t>
      </w:r>
    </w:p>
    <w:p w:rsidR="0099596B" w:rsidRPr="005759BD" w:rsidRDefault="0099596B" w:rsidP="0099596B">
      <w:pPr>
        <w:rPr>
          <w:rFonts w:ascii="Verdana" w:hAnsi="Verdana"/>
          <w:sz w:val="20"/>
          <w:szCs w:val="20"/>
        </w:rPr>
      </w:pPr>
      <w:r w:rsidRPr="005759BD">
        <w:rPr>
          <w:rFonts w:ascii="Verdana" w:hAnsi="Verdana"/>
          <w:sz w:val="20"/>
          <w:szCs w:val="20"/>
        </w:rPr>
        <w:t xml:space="preserve">TPK &lt;150 </w:t>
      </w:r>
      <w:r w:rsidRPr="005759BD">
        <w:rPr>
          <w:rFonts w:ascii="Verdana" w:hAnsi="Verdana" w:cs="Calibri"/>
          <w:sz w:val="20"/>
          <w:szCs w:val="20"/>
        </w:rPr>
        <w:t>×</w:t>
      </w:r>
      <w:r w:rsidRPr="005759BD">
        <w:rPr>
          <w:rFonts w:ascii="Verdana" w:hAnsi="Verdana"/>
          <w:sz w:val="20"/>
          <w:szCs w:val="20"/>
        </w:rPr>
        <w:t xml:space="preserve"> 10</w:t>
      </w:r>
      <w:r w:rsidRPr="005759BD">
        <w:rPr>
          <w:rFonts w:ascii="Verdana" w:hAnsi="Verdana"/>
          <w:sz w:val="20"/>
          <w:szCs w:val="20"/>
          <w:vertAlign w:val="superscript"/>
        </w:rPr>
        <w:t>9</w:t>
      </w:r>
      <w:r w:rsidRPr="005759BD">
        <w:rPr>
          <w:rFonts w:ascii="Verdana" w:hAnsi="Verdana"/>
          <w:sz w:val="20"/>
          <w:szCs w:val="20"/>
        </w:rPr>
        <w:t xml:space="preserve">/L </w:t>
      </w:r>
      <w:r>
        <w:rPr>
          <w:rFonts w:ascii="Verdana" w:hAnsi="Verdana"/>
          <w:i/>
          <w:sz w:val="20"/>
          <w:szCs w:val="20"/>
        </w:rPr>
        <w:t>utan</w:t>
      </w:r>
      <w:r w:rsidRPr="00B714C1">
        <w:rPr>
          <w:rFonts w:ascii="Verdana" w:hAnsi="Verdana"/>
          <w:i/>
          <w:sz w:val="20"/>
          <w:szCs w:val="20"/>
        </w:rPr>
        <w:t xml:space="preserve"> påverkan på övriga </w:t>
      </w:r>
      <w:proofErr w:type="spellStart"/>
      <w:r w:rsidRPr="00B714C1">
        <w:rPr>
          <w:rFonts w:ascii="Verdana" w:hAnsi="Verdana"/>
          <w:i/>
          <w:sz w:val="20"/>
          <w:szCs w:val="20"/>
        </w:rPr>
        <w:t>poeser</w:t>
      </w:r>
      <w:proofErr w:type="spellEnd"/>
      <w:r w:rsidRPr="005759BD">
        <w:rPr>
          <w:rFonts w:ascii="Verdana" w:hAnsi="Verdana"/>
          <w:sz w:val="20"/>
          <w:szCs w:val="20"/>
        </w:rPr>
        <w:t xml:space="preserve">.  TPK </w:t>
      </w:r>
      <w:r w:rsidRPr="005759BD">
        <w:rPr>
          <w:rFonts w:ascii="Verdana" w:hAnsi="Verdana" w:cs="Calibri"/>
          <w:sz w:val="20"/>
          <w:szCs w:val="20"/>
        </w:rPr>
        <w:t>≥</w:t>
      </w:r>
      <w:r w:rsidRPr="005759BD">
        <w:rPr>
          <w:rFonts w:ascii="Verdana" w:hAnsi="Verdana"/>
          <w:sz w:val="20"/>
          <w:szCs w:val="20"/>
        </w:rPr>
        <w:t xml:space="preserve">20 </w:t>
      </w:r>
      <w:r w:rsidRPr="005759BD">
        <w:rPr>
          <w:rFonts w:ascii="Verdana" w:hAnsi="Verdana" w:cs="Calibri"/>
          <w:sz w:val="20"/>
          <w:szCs w:val="20"/>
        </w:rPr>
        <w:t>×</w:t>
      </w:r>
      <w:r w:rsidRPr="005759BD">
        <w:rPr>
          <w:rFonts w:ascii="Verdana" w:hAnsi="Verdana"/>
          <w:sz w:val="20"/>
          <w:szCs w:val="20"/>
        </w:rPr>
        <w:t xml:space="preserve"> 10</w:t>
      </w:r>
      <w:r w:rsidRPr="005759BD">
        <w:rPr>
          <w:rFonts w:ascii="Verdana" w:hAnsi="Verdana"/>
          <w:sz w:val="20"/>
          <w:szCs w:val="20"/>
          <w:vertAlign w:val="superscript"/>
        </w:rPr>
        <w:t>9</w:t>
      </w:r>
      <w:r w:rsidRPr="005759BD">
        <w:rPr>
          <w:rFonts w:ascii="Verdana" w:hAnsi="Verdana"/>
          <w:sz w:val="20"/>
          <w:szCs w:val="20"/>
        </w:rPr>
        <w:t xml:space="preserve">/L medför sällan risk för blödning, medan vid TPK </w:t>
      </w:r>
      <w:r w:rsidRPr="005759BD">
        <w:rPr>
          <w:rFonts w:ascii="Verdana" w:hAnsi="Verdana" w:cs="Calibri"/>
          <w:sz w:val="20"/>
          <w:szCs w:val="20"/>
        </w:rPr>
        <w:t>&lt;20 ×</w:t>
      </w:r>
      <w:r w:rsidRPr="005759BD">
        <w:rPr>
          <w:rFonts w:ascii="Verdana" w:hAnsi="Verdana"/>
          <w:sz w:val="20"/>
          <w:szCs w:val="20"/>
        </w:rPr>
        <w:t xml:space="preserve"> 10</w:t>
      </w:r>
      <w:r w:rsidRPr="005759BD">
        <w:rPr>
          <w:rFonts w:ascii="Verdana" w:hAnsi="Verdana"/>
          <w:sz w:val="20"/>
          <w:szCs w:val="20"/>
          <w:vertAlign w:val="superscript"/>
        </w:rPr>
        <w:t>9</w:t>
      </w:r>
      <w:r w:rsidRPr="005759BD">
        <w:rPr>
          <w:rFonts w:ascii="Verdana" w:hAnsi="Verdana"/>
          <w:sz w:val="20"/>
          <w:szCs w:val="20"/>
        </w:rPr>
        <w:t>/L</w:t>
      </w:r>
      <w:r w:rsidRPr="005759BD">
        <w:rPr>
          <w:rFonts w:ascii="Verdana" w:hAnsi="Verdana" w:cs="Calibri"/>
          <w:sz w:val="20"/>
          <w:szCs w:val="20"/>
        </w:rPr>
        <w:t xml:space="preserve"> är risken för blödningar i olika former uppenbar. </w:t>
      </w:r>
    </w:p>
    <w:p w:rsidR="0099596B" w:rsidRPr="005759BD" w:rsidRDefault="0099596B" w:rsidP="0099596B">
      <w:pPr>
        <w:rPr>
          <w:rFonts w:ascii="Verdana" w:hAnsi="Verdana"/>
          <w:sz w:val="20"/>
          <w:szCs w:val="20"/>
        </w:rPr>
      </w:pPr>
      <w:r w:rsidRPr="005759BD">
        <w:rPr>
          <w:rFonts w:ascii="Verdana" w:hAnsi="Verdana"/>
          <w:sz w:val="20"/>
          <w:szCs w:val="20"/>
        </w:rPr>
        <w:tab/>
      </w:r>
      <w:r w:rsidRPr="005759BD">
        <w:rPr>
          <w:rFonts w:ascii="Verdana" w:hAnsi="Verdana"/>
          <w:sz w:val="20"/>
          <w:szCs w:val="20"/>
        </w:rPr>
        <w:tab/>
      </w:r>
      <w:r w:rsidRPr="005759BD">
        <w:rPr>
          <w:rFonts w:ascii="Verdana" w:hAnsi="Verdana"/>
          <w:sz w:val="20"/>
          <w:szCs w:val="20"/>
        </w:rPr>
        <w:tab/>
      </w:r>
    </w:p>
    <w:p w:rsidR="0099596B" w:rsidRPr="005759BD" w:rsidRDefault="0099596B" w:rsidP="0099596B">
      <w:pPr>
        <w:rPr>
          <w:rFonts w:ascii="Verdana" w:hAnsi="Verdana"/>
          <w:b/>
        </w:rPr>
      </w:pPr>
      <w:r w:rsidRPr="005759BD">
        <w:rPr>
          <w:rFonts w:ascii="Verdana" w:hAnsi="Verdana"/>
          <w:b/>
        </w:rPr>
        <w:t xml:space="preserve">Orsak </w:t>
      </w:r>
    </w:p>
    <w:p w:rsidR="0099596B" w:rsidRPr="005759BD" w:rsidRDefault="0099596B" w:rsidP="0099596B">
      <w:pPr>
        <w:rPr>
          <w:rFonts w:ascii="Verdana" w:hAnsi="Verdana"/>
          <w:sz w:val="20"/>
          <w:szCs w:val="20"/>
        </w:rPr>
      </w:pPr>
      <w:proofErr w:type="spellStart"/>
      <w:r w:rsidRPr="005759BD">
        <w:rPr>
          <w:rFonts w:ascii="Verdana" w:hAnsi="Verdana"/>
          <w:sz w:val="20"/>
          <w:szCs w:val="20"/>
        </w:rPr>
        <w:t>Immuntrombocytopeni</w:t>
      </w:r>
      <w:proofErr w:type="spellEnd"/>
      <w:r w:rsidRPr="005759BD">
        <w:rPr>
          <w:rFonts w:ascii="Verdana" w:hAnsi="Verdana"/>
          <w:sz w:val="20"/>
          <w:szCs w:val="20"/>
        </w:rPr>
        <w:t xml:space="preserve"> (ITP) är den vanligaste orsaken beroende på en immunmedierad ökad nedbrytning av trombocyter. Andra orsaker</w:t>
      </w:r>
      <w:r>
        <w:rPr>
          <w:rFonts w:ascii="Verdana" w:hAnsi="Verdana"/>
          <w:sz w:val="20"/>
          <w:szCs w:val="20"/>
        </w:rPr>
        <w:t xml:space="preserve"> (ökad nedbrytning eller nedsatt produktion)</w:t>
      </w:r>
      <w:r w:rsidRPr="005759BD">
        <w:rPr>
          <w:rFonts w:ascii="Verdana" w:hAnsi="Verdana"/>
          <w:sz w:val="20"/>
          <w:szCs w:val="20"/>
        </w:rPr>
        <w:t xml:space="preserve"> är leukemi, HLH, HUS, systemsjukdom, viroser (CMV, EBV, </w:t>
      </w:r>
      <w:r>
        <w:rPr>
          <w:rFonts w:ascii="Verdana" w:hAnsi="Verdana"/>
          <w:sz w:val="20"/>
          <w:szCs w:val="20"/>
        </w:rPr>
        <w:t>hiv</w:t>
      </w:r>
      <w:r w:rsidRPr="005759BD">
        <w:rPr>
          <w:rFonts w:ascii="Verdana" w:hAnsi="Verdana"/>
          <w:sz w:val="20"/>
          <w:szCs w:val="20"/>
        </w:rPr>
        <w:t xml:space="preserve"> </w:t>
      </w:r>
      <w:proofErr w:type="spellStart"/>
      <w:r w:rsidRPr="005759BD">
        <w:rPr>
          <w:rFonts w:ascii="Verdana" w:hAnsi="Verdana"/>
          <w:sz w:val="20"/>
          <w:szCs w:val="20"/>
        </w:rPr>
        <w:t>mfl</w:t>
      </w:r>
      <w:proofErr w:type="spellEnd"/>
      <w:r w:rsidRPr="005759BD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</w:t>
      </w:r>
      <w:r w:rsidRPr="00B25D55">
        <w:rPr>
          <w:rFonts w:ascii="Verdana" w:hAnsi="Verdana"/>
          <w:sz w:val="20"/>
          <w:szCs w:val="20"/>
        </w:rPr>
        <w:t xml:space="preserve"> </w:t>
      </w:r>
      <w:proofErr w:type="spellStart"/>
      <w:r w:rsidRPr="005759BD">
        <w:rPr>
          <w:rFonts w:ascii="Verdana" w:hAnsi="Verdana"/>
          <w:sz w:val="20"/>
          <w:szCs w:val="20"/>
        </w:rPr>
        <w:t>hypersplenism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="00AC5F95">
        <w:rPr>
          <w:rFonts w:ascii="Verdana" w:hAnsi="Verdana"/>
          <w:sz w:val="20"/>
          <w:szCs w:val="20"/>
        </w:rPr>
        <w:t xml:space="preserve">och olika </w:t>
      </w:r>
      <w:proofErr w:type="spellStart"/>
      <w:r w:rsidR="00AC5F95">
        <w:rPr>
          <w:rFonts w:ascii="Verdana" w:hAnsi="Verdana"/>
          <w:sz w:val="20"/>
          <w:szCs w:val="20"/>
        </w:rPr>
        <w:t>benmägssvikter</w:t>
      </w:r>
      <w:proofErr w:type="spellEnd"/>
      <w:r w:rsidRPr="005759BD">
        <w:rPr>
          <w:rFonts w:ascii="Verdana" w:hAnsi="Verdana"/>
          <w:sz w:val="20"/>
          <w:szCs w:val="20"/>
        </w:rPr>
        <w:t>. Läkemedel (t ex antibiotika och heparin) och levande vaccin</w:t>
      </w:r>
      <w:r>
        <w:rPr>
          <w:rFonts w:ascii="Verdana" w:hAnsi="Verdana"/>
          <w:sz w:val="20"/>
          <w:szCs w:val="20"/>
        </w:rPr>
        <w:t>er (MPR)</w:t>
      </w:r>
      <w:r w:rsidRPr="005759BD">
        <w:rPr>
          <w:rFonts w:ascii="Verdana" w:hAnsi="Verdana"/>
          <w:sz w:val="20"/>
          <w:szCs w:val="20"/>
        </w:rPr>
        <w:t xml:space="preserve"> kan utlösa </w:t>
      </w:r>
      <w:proofErr w:type="spellStart"/>
      <w:r w:rsidRPr="005759BD">
        <w:rPr>
          <w:rFonts w:ascii="Verdana" w:hAnsi="Verdana"/>
          <w:sz w:val="20"/>
          <w:szCs w:val="20"/>
        </w:rPr>
        <w:t>trombocytopeni</w:t>
      </w:r>
      <w:proofErr w:type="spellEnd"/>
      <w:r w:rsidRPr="005759BD">
        <w:rPr>
          <w:rFonts w:ascii="Verdana" w:hAnsi="Verdana"/>
          <w:sz w:val="20"/>
          <w:szCs w:val="20"/>
        </w:rPr>
        <w:t>. ITP är en uteslutningsdiagnos baserad på anamnes och symptomatologi.</w:t>
      </w:r>
    </w:p>
    <w:p w:rsidR="0099596B" w:rsidRPr="005759BD" w:rsidRDefault="0099596B" w:rsidP="0099596B">
      <w:pPr>
        <w:rPr>
          <w:rFonts w:ascii="Verdana" w:hAnsi="Verdana"/>
          <w:sz w:val="20"/>
          <w:szCs w:val="20"/>
        </w:rPr>
      </w:pPr>
    </w:p>
    <w:p w:rsidR="0099596B" w:rsidRPr="005759BD" w:rsidRDefault="0099596B" w:rsidP="0099596B">
      <w:pPr>
        <w:rPr>
          <w:rFonts w:ascii="Verdana" w:hAnsi="Verdana"/>
          <w:b/>
        </w:rPr>
      </w:pPr>
      <w:r w:rsidRPr="005759BD">
        <w:rPr>
          <w:rFonts w:ascii="Verdana" w:hAnsi="Verdana"/>
          <w:b/>
        </w:rPr>
        <w:t>Klinisk bild</w:t>
      </w:r>
    </w:p>
    <w:p w:rsidR="0099596B" w:rsidRPr="005759BD" w:rsidRDefault="0099596B" w:rsidP="0099596B">
      <w:pPr>
        <w:rPr>
          <w:rFonts w:ascii="Verdana" w:hAnsi="Verdana"/>
          <w:sz w:val="20"/>
        </w:rPr>
      </w:pPr>
      <w:proofErr w:type="spellStart"/>
      <w:r w:rsidRPr="005759BD">
        <w:rPr>
          <w:rFonts w:ascii="Verdana" w:hAnsi="Verdana"/>
          <w:sz w:val="20"/>
        </w:rPr>
        <w:t>Petekier</w:t>
      </w:r>
      <w:proofErr w:type="spellEnd"/>
      <w:r w:rsidRPr="005759BD">
        <w:rPr>
          <w:rFonts w:ascii="Verdana" w:hAnsi="Verdana"/>
          <w:sz w:val="20"/>
        </w:rPr>
        <w:t>, bl</w:t>
      </w:r>
      <w:r>
        <w:rPr>
          <w:rFonts w:ascii="Verdana" w:hAnsi="Verdana"/>
          <w:sz w:val="20"/>
        </w:rPr>
        <w:t xml:space="preserve">åmärken och slemhinneblödningar </w:t>
      </w:r>
      <w:r w:rsidRPr="005759BD">
        <w:rPr>
          <w:rFonts w:ascii="Verdana" w:hAnsi="Verdana"/>
          <w:sz w:val="20"/>
        </w:rPr>
        <w:t xml:space="preserve">ses </w:t>
      </w:r>
      <w:proofErr w:type="spellStart"/>
      <w:r w:rsidRPr="005759BD">
        <w:rPr>
          <w:rFonts w:ascii="Verdana" w:hAnsi="Verdana"/>
          <w:sz w:val="20"/>
        </w:rPr>
        <w:t>ffa</w:t>
      </w:r>
      <w:proofErr w:type="spellEnd"/>
      <w:r w:rsidRPr="005759BD">
        <w:rPr>
          <w:rFonts w:ascii="Verdana" w:hAnsi="Verdana"/>
          <w:sz w:val="20"/>
        </w:rPr>
        <w:t xml:space="preserve"> vid TPK &lt;20 </w:t>
      </w:r>
      <w:r w:rsidRPr="005759BD">
        <w:rPr>
          <w:rFonts w:ascii="Verdana" w:hAnsi="Verdana" w:cs="Calibri"/>
          <w:sz w:val="20"/>
        </w:rPr>
        <w:t>×</w:t>
      </w:r>
      <w:r w:rsidRPr="005759BD">
        <w:rPr>
          <w:rFonts w:ascii="Verdana" w:hAnsi="Verdana"/>
          <w:sz w:val="20"/>
        </w:rPr>
        <w:t xml:space="preserve"> 10</w:t>
      </w:r>
      <w:r w:rsidRPr="005759BD">
        <w:rPr>
          <w:rFonts w:ascii="Verdana" w:hAnsi="Verdana"/>
          <w:sz w:val="20"/>
          <w:vertAlign w:val="superscript"/>
        </w:rPr>
        <w:t>9</w:t>
      </w:r>
      <w:r w:rsidRPr="005759BD">
        <w:rPr>
          <w:rFonts w:ascii="Verdana" w:hAnsi="Verdana"/>
          <w:sz w:val="20"/>
        </w:rPr>
        <w:t>/L.  Akut ITP är vanligast hos förskolebarn</w:t>
      </w:r>
      <w:r>
        <w:rPr>
          <w:rFonts w:ascii="Verdana" w:hAnsi="Verdana"/>
          <w:sz w:val="20"/>
        </w:rPr>
        <w:t>,</w:t>
      </w:r>
      <w:r w:rsidRPr="005759BD">
        <w:rPr>
          <w:rFonts w:ascii="Verdana" w:hAnsi="Verdana"/>
          <w:sz w:val="20"/>
        </w:rPr>
        <w:t xml:space="preserve"> ofta efter nyligen genomgången infektion. Barnet är opåverkat och </w:t>
      </w:r>
      <w:proofErr w:type="spellStart"/>
      <w:r w:rsidRPr="005759BD">
        <w:rPr>
          <w:rFonts w:ascii="Verdana" w:hAnsi="Verdana"/>
          <w:sz w:val="20"/>
        </w:rPr>
        <w:t>afebrilt</w:t>
      </w:r>
      <w:proofErr w:type="spellEnd"/>
      <w:r w:rsidRPr="005759BD">
        <w:rPr>
          <w:rFonts w:ascii="Verdana" w:hAnsi="Verdana"/>
          <w:sz w:val="20"/>
        </w:rPr>
        <w:t xml:space="preserve"> utan </w:t>
      </w:r>
      <w:proofErr w:type="spellStart"/>
      <w:r>
        <w:rPr>
          <w:rFonts w:ascii="Verdana" w:hAnsi="Verdana"/>
          <w:sz w:val="20"/>
        </w:rPr>
        <w:t>hepatospleno</w:t>
      </w:r>
      <w:r w:rsidRPr="005759BD">
        <w:rPr>
          <w:rFonts w:ascii="Verdana" w:hAnsi="Verdana"/>
          <w:sz w:val="20"/>
        </w:rPr>
        <w:t>megali</w:t>
      </w:r>
      <w:proofErr w:type="spellEnd"/>
      <w:r w:rsidRPr="005759BD">
        <w:rPr>
          <w:rFonts w:ascii="Verdana" w:hAnsi="Verdana"/>
          <w:sz w:val="20"/>
        </w:rPr>
        <w:t xml:space="preserve"> eller förstorade lymfkörtlar. Blodbild frånsett TPK är normal (</w:t>
      </w:r>
      <w:proofErr w:type="spellStart"/>
      <w:r w:rsidRPr="005759BD">
        <w:rPr>
          <w:rFonts w:ascii="Verdana" w:hAnsi="Verdana"/>
          <w:sz w:val="20"/>
        </w:rPr>
        <w:t>ev</w:t>
      </w:r>
      <w:proofErr w:type="spellEnd"/>
      <w:r w:rsidRPr="005759BD">
        <w:rPr>
          <w:rFonts w:ascii="Verdana" w:hAnsi="Verdana"/>
          <w:sz w:val="20"/>
        </w:rPr>
        <w:t xml:space="preserve"> lågt Hb </w:t>
      </w:r>
      <w:proofErr w:type="spellStart"/>
      <w:r w:rsidRPr="005759BD">
        <w:rPr>
          <w:rFonts w:ascii="Verdana" w:hAnsi="Verdana"/>
          <w:sz w:val="20"/>
        </w:rPr>
        <w:t>pga</w:t>
      </w:r>
      <w:proofErr w:type="spellEnd"/>
      <w:r w:rsidRPr="005759BD">
        <w:rPr>
          <w:rFonts w:ascii="Verdana" w:hAnsi="Verdana"/>
          <w:sz w:val="20"/>
        </w:rPr>
        <w:t xml:space="preserve"> blödning). Oftast godartat förlopp med självläkning</w:t>
      </w:r>
      <w:r>
        <w:rPr>
          <w:rFonts w:ascii="Verdana" w:hAnsi="Verdana"/>
          <w:sz w:val="20"/>
        </w:rPr>
        <w:t xml:space="preserve"> inom veckor till månader</w:t>
      </w:r>
      <w:r w:rsidRPr="005759BD">
        <w:rPr>
          <w:rFonts w:ascii="Verdana" w:hAnsi="Verdana"/>
          <w:sz w:val="20"/>
        </w:rPr>
        <w:t xml:space="preserve">. </w:t>
      </w:r>
      <w:r>
        <w:rPr>
          <w:rFonts w:ascii="Verdana" w:hAnsi="Verdana"/>
          <w:sz w:val="20"/>
        </w:rPr>
        <w:t xml:space="preserve">15-20% blir kroniska fall. </w:t>
      </w:r>
      <w:r w:rsidRPr="005759BD">
        <w:rPr>
          <w:rFonts w:ascii="Verdana" w:hAnsi="Verdana"/>
          <w:sz w:val="20"/>
        </w:rPr>
        <w:t>Typisk symtombild räcker för ITP-diagnos efter genomförd utredning med avseende på differentialdiagnoser.</w:t>
      </w:r>
      <w:r>
        <w:rPr>
          <w:rFonts w:ascii="Verdana" w:hAnsi="Verdana"/>
          <w:sz w:val="20"/>
        </w:rPr>
        <w:t xml:space="preserve"> I enstaka fall kan tecken på utlösande i</w:t>
      </w:r>
      <w:r w:rsidR="00AC5F95">
        <w:rPr>
          <w:rFonts w:ascii="Verdana" w:hAnsi="Verdana"/>
          <w:sz w:val="20"/>
        </w:rPr>
        <w:t>nfektion samtidigt föreligga, t ex</w:t>
      </w:r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mononukleos</w:t>
      </w:r>
      <w:proofErr w:type="spellEnd"/>
      <w:r>
        <w:rPr>
          <w:rFonts w:ascii="Verdana" w:hAnsi="Verdana"/>
          <w:sz w:val="20"/>
        </w:rPr>
        <w:t xml:space="preserve"> eller vattkoppor.</w:t>
      </w:r>
    </w:p>
    <w:p w:rsidR="0099596B" w:rsidRPr="005759BD" w:rsidRDefault="0099596B" w:rsidP="0099596B">
      <w:pPr>
        <w:rPr>
          <w:rFonts w:ascii="Verdana" w:hAnsi="Verdana"/>
          <w:sz w:val="20"/>
          <w:szCs w:val="20"/>
        </w:rPr>
      </w:pPr>
    </w:p>
    <w:p w:rsidR="0099596B" w:rsidRPr="005759BD" w:rsidRDefault="0099596B" w:rsidP="0099596B">
      <w:pPr>
        <w:rPr>
          <w:rFonts w:ascii="Verdana" w:hAnsi="Verdana"/>
          <w:b/>
        </w:rPr>
      </w:pPr>
      <w:r w:rsidRPr="005759BD">
        <w:rPr>
          <w:rFonts w:ascii="Verdana" w:hAnsi="Verdana"/>
          <w:b/>
        </w:rPr>
        <w:t>Utredning</w:t>
      </w:r>
    </w:p>
    <w:p w:rsidR="0099596B" w:rsidRDefault="0099596B" w:rsidP="0099596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P</w:t>
      </w:r>
      <w:r w:rsidRPr="005759BD">
        <w:rPr>
          <w:rFonts w:ascii="Verdana" w:hAnsi="Verdana"/>
          <w:sz w:val="20"/>
          <w:szCs w:val="20"/>
          <w:u w:val="single"/>
        </w:rPr>
        <w:t>å akuten</w:t>
      </w:r>
      <w:r>
        <w:rPr>
          <w:rFonts w:ascii="Verdana" w:hAnsi="Verdana"/>
          <w:sz w:val="20"/>
          <w:szCs w:val="20"/>
        </w:rPr>
        <w:t>: blodstatus (Hb, MCV, MCH, TPK, LPK,</w:t>
      </w:r>
      <w:r w:rsidR="00AC5F9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B-celler (</w:t>
      </w:r>
      <w:proofErr w:type="spellStart"/>
      <w:r>
        <w:rPr>
          <w:rFonts w:ascii="Verdana" w:hAnsi="Verdana"/>
          <w:sz w:val="20"/>
          <w:szCs w:val="20"/>
        </w:rPr>
        <w:t>diff</w:t>
      </w:r>
      <w:proofErr w:type="spellEnd"/>
      <w:r>
        <w:rPr>
          <w:rFonts w:ascii="Verdana" w:hAnsi="Verdana"/>
          <w:sz w:val="20"/>
          <w:szCs w:val="20"/>
        </w:rPr>
        <w:t>),</w:t>
      </w:r>
      <w:r w:rsidRPr="005759BD">
        <w:rPr>
          <w:rFonts w:ascii="Verdana" w:hAnsi="Verdana"/>
          <w:sz w:val="20"/>
          <w:szCs w:val="20"/>
        </w:rPr>
        <w:t xml:space="preserve"> </w:t>
      </w:r>
      <w:proofErr w:type="spellStart"/>
      <w:r w:rsidRPr="005759BD">
        <w:rPr>
          <w:rFonts w:ascii="Verdana" w:hAnsi="Verdana"/>
          <w:sz w:val="20"/>
          <w:szCs w:val="20"/>
        </w:rPr>
        <w:t>retikulocyter</w:t>
      </w:r>
      <w:proofErr w:type="spellEnd"/>
      <w:r w:rsidRPr="005759BD">
        <w:rPr>
          <w:rFonts w:ascii="Verdana" w:hAnsi="Verdana"/>
          <w:sz w:val="20"/>
          <w:szCs w:val="20"/>
        </w:rPr>
        <w:t xml:space="preserve">, </w:t>
      </w:r>
      <w:proofErr w:type="spellStart"/>
      <w:r w:rsidRPr="005759BD">
        <w:rPr>
          <w:rFonts w:ascii="Verdana" w:hAnsi="Verdana"/>
          <w:sz w:val="20"/>
          <w:szCs w:val="20"/>
        </w:rPr>
        <w:t>kreatinin</w:t>
      </w:r>
      <w:proofErr w:type="spellEnd"/>
      <w:r w:rsidRPr="005759BD">
        <w:rPr>
          <w:rFonts w:ascii="Verdana" w:hAnsi="Verdana"/>
          <w:sz w:val="20"/>
          <w:szCs w:val="20"/>
        </w:rPr>
        <w:t xml:space="preserve">, ASAT, ALAT, </w:t>
      </w:r>
      <w:proofErr w:type="spellStart"/>
      <w:r w:rsidRPr="005759BD">
        <w:rPr>
          <w:rFonts w:ascii="Verdana" w:hAnsi="Verdana"/>
          <w:sz w:val="20"/>
          <w:szCs w:val="20"/>
        </w:rPr>
        <w:t>bilirubin</w:t>
      </w:r>
      <w:proofErr w:type="spellEnd"/>
      <w:r w:rsidRPr="005759BD">
        <w:rPr>
          <w:rFonts w:ascii="Verdana" w:hAnsi="Verdana"/>
          <w:sz w:val="20"/>
          <w:szCs w:val="20"/>
        </w:rPr>
        <w:t xml:space="preserve">, CRP, u-sticka, (APT-tid, PK-INR). DAT vid misstanke om </w:t>
      </w:r>
      <w:proofErr w:type="spellStart"/>
      <w:r w:rsidRPr="005759BD">
        <w:rPr>
          <w:rFonts w:ascii="Verdana" w:hAnsi="Verdana"/>
          <w:sz w:val="20"/>
          <w:szCs w:val="20"/>
        </w:rPr>
        <w:t>hemolys</w:t>
      </w:r>
      <w:proofErr w:type="spellEnd"/>
      <w:r w:rsidRPr="005759BD">
        <w:rPr>
          <w:rFonts w:ascii="Verdana" w:hAnsi="Verdana"/>
          <w:sz w:val="20"/>
          <w:szCs w:val="20"/>
        </w:rPr>
        <w:t xml:space="preserve"> och då även utstryk för påvisning av </w:t>
      </w:r>
      <w:proofErr w:type="spellStart"/>
      <w:r w:rsidRPr="005759BD">
        <w:rPr>
          <w:rFonts w:ascii="Verdana" w:hAnsi="Verdana"/>
          <w:sz w:val="20"/>
          <w:szCs w:val="20"/>
        </w:rPr>
        <w:t>schistocyter</w:t>
      </w:r>
      <w:proofErr w:type="spellEnd"/>
      <w:r>
        <w:rPr>
          <w:rFonts w:ascii="Verdana" w:hAnsi="Verdana"/>
          <w:sz w:val="20"/>
          <w:szCs w:val="20"/>
        </w:rPr>
        <w:t xml:space="preserve"> (</w:t>
      </w:r>
      <w:proofErr w:type="spellStart"/>
      <w:r>
        <w:rPr>
          <w:rFonts w:ascii="Verdana" w:hAnsi="Verdana"/>
          <w:sz w:val="20"/>
          <w:szCs w:val="20"/>
        </w:rPr>
        <w:t>microangiopati</w:t>
      </w:r>
      <w:proofErr w:type="spellEnd"/>
      <w:r>
        <w:rPr>
          <w:rFonts w:ascii="Verdana" w:hAnsi="Verdana"/>
          <w:sz w:val="20"/>
          <w:szCs w:val="20"/>
        </w:rPr>
        <w:t>?)</w:t>
      </w:r>
      <w:r w:rsidRPr="005759BD">
        <w:rPr>
          <w:rFonts w:ascii="Verdana" w:hAnsi="Verdana"/>
          <w:sz w:val="20"/>
          <w:szCs w:val="20"/>
        </w:rPr>
        <w:t xml:space="preserve">. Blodgruppering och BAS vid blödning. </w:t>
      </w:r>
      <w:r w:rsidRPr="005759BD">
        <w:rPr>
          <w:rFonts w:ascii="Verdana" w:hAnsi="Verdana"/>
          <w:sz w:val="20"/>
          <w:szCs w:val="20"/>
        </w:rPr>
        <w:br/>
      </w:r>
      <w:r w:rsidRPr="005759BD">
        <w:rPr>
          <w:rFonts w:ascii="Verdana" w:hAnsi="Verdana"/>
          <w:sz w:val="20"/>
          <w:szCs w:val="20"/>
          <w:u w:val="single"/>
        </w:rPr>
        <w:br/>
      </w:r>
      <w:r>
        <w:rPr>
          <w:rFonts w:ascii="Verdana" w:hAnsi="Verdana"/>
          <w:sz w:val="20"/>
          <w:szCs w:val="20"/>
          <w:u w:val="single"/>
        </w:rPr>
        <w:t>P</w:t>
      </w:r>
      <w:r w:rsidRPr="005759BD">
        <w:rPr>
          <w:rFonts w:ascii="Verdana" w:hAnsi="Verdana"/>
          <w:sz w:val="20"/>
          <w:szCs w:val="20"/>
          <w:u w:val="single"/>
        </w:rPr>
        <w:t xml:space="preserve">å avdelning/mottagning </w:t>
      </w:r>
      <w:r w:rsidRPr="003A6114">
        <w:rPr>
          <w:rFonts w:ascii="Verdana" w:hAnsi="Verdana"/>
          <w:sz w:val="20"/>
          <w:szCs w:val="20"/>
        </w:rPr>
        <w:t>(ej akut och ej nödvändigt i okomplicerade typiska fall):</w:t>
      </w:r>
      <w:r w:rsidRPr="005759BD">
        <w:rPr>
          <w:rFonts w:ascii="Verdana" w:hAnsi="Verdana"/>
          <w:sz w:val="20"/>
          <w:szCs w:val="20"/>
        </w:rPr>
        <w:t xml:space="preserve"> virusserologier, </w:t>
      </w:r>
      <w:r>
        <w:rPr>
          <w:rFonts w:ascii="Verdana" w:hAnsi="Verdana"/>
          <w:sz w:val="20"/>
          <w:szCs w:val="20"/>
        </w:rPr>
        <w:t xml:space="preserve">utvidgad </w:t>
      </w:r>
      <w:r w:rsidRPr="005759BD">
        <w:rPr>
          <w:rFonts w:ascii="Verdana" w:hAnsi="Verdana"/>
          <w:sz w:val="20"/>
          <w:szCs w:val="20"/>
        </w:rPr>
        <w:t>immunologisk diagnostik</w:t>
      </w:r>
      <w:r>
        <w:rPr>
          <w:rFonts w:ascii="Verdana" w:hAnsi="Verdana"/>
          <w:sz w:val="20"/>
          <w:szCs w:val="20"/>
        </w:rPr>
        <w:t xml:space="preserve"> (</w:t>
      </w:r>
      <w:proofErr w:type="spellStart"/>
      <w:r>
        <w:rPr>
          <w:rFonts w:ascii="Verdana" w:hAnsi="Verdana"/>
          <w:sz w:val="20"/>
          <w:szCs w:val="20"/>
        </w:rPr>
        <w:t>elfores</w:t>
      </w:r>
      <w:proofErr w:type="spellEnd"/>
      <w:r>
        <w:rPr>
          <w:rFonts w:ascii="Verdana" w:hAnsi="Verdana"/>
          <w:sz w:val="20"/>
          <w:szCs w:val="20"/>
        </w:rPr>
        <w:t>, ANA</w:t>
      </w:r>
      <w:r w:rsidR="00AC5F95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.</w:t>
      </w:r>
    </w:p>
    <w:p w:rsidR="0099596B" w:rsidRPr="005759BD" w:rsidRDefault="0099596B" w:rsidP="0099596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Det anse</w:t>
      </w:r>
      <w:r w:rsidR="00AC5F95">
        <w:rPr>
          <w:rFonts w:ascii="Verdana" w:hAnsi="Verdana"/>
          <w:sz w:val="20"/>
          <w:szCs w:val="20"/>
        </w:rPr>
        <w:t>s inte längre obligat med benmärgsundersökning</w:t>
      </w:r>
      <w:r>
        <w:rPr>
          <w:rFonts w:ascii="Verdana" w:hAnsi="Verdana"/>
          <w:sz w:val="20"/>
          <w:szCs w:val="20"/>
        </w:rPr>
        <w:t xml:space="preserve"> inför insättning av </w:t>
      </w:r>
      <w:proofErr w:type="spellStart"/>
      <w:r w:rsidR="00AC5F95">
        <w:rPr>
          <w:rFonts w:ascii="Verdana" w:hAnsi="Verdana"/>
          <w:sz w:val="20"/>
          <w:szCs w:val="20"/>
        </w:rPr>
        <w:t>kortiko</w:t>
      </w:r>
      <w:r>
        <w:rPr>
          <w:rFonts w:ascii="Verdana" w:hAnsi="Verdana"/>
          <w:sz w:val="20"/>
          <w:szCs w:val="20"/>
        </w:rPr>
        <w:t>steroider</w:t>
      </w:r>
      <w:proofErr w:type="spellEnd"/>
      <w:r>
        <w:rPr>
          <w:rFonts w:ascii="Verdana" w:hAnsi="Verdana"/>
          <w:sz w:val="20"/>
          <w:szCs w:val="20"/>
        </w:rPr>
        <w:t xml:space="preserve"> i helt okomplicerat fall med normal blodbild och avsaknad av </w:t>
      </w:r>
      <w:proofErr w:type="spellStart"/>
      <w:r>
        <w:rPr>
          <w:rFonts w:ascii="Verdana" w:hAnsi="Verdana"/>
          <w:sz w:val="20"/>
          <w:szCs w:val="20"/>
        </w:rPr>
        <w:t>malignitetsmisstanke</w:t>
      </w:r>
      <w:proofErr w:type="spellEnd"/>
      <w:r>
        <w:rPr>
          <w:rFonts w:ascii="Verdana" w:hAnsi="Verdana"/>
          <w:sz w:val="20"/>
          <w:szCs w:val="20"/>
        </w:rPr>
        <w:t>. Diskutera med hematolog.</w:t>
      </w:r>
      <w:r w:rsidRPr="005759B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</w:p>
    <w:p w:rsidR="0099596B" w:rsidRPr="005759BD" w:rsidRDefault="0099596B" w:rsidP="0099596B">
      <w:pPr>
        <w:rPr>
          <w:rFonts w:ascii="Verdana" w:hAnsi="Verdana"/>
          <w:sz w:val="20"/>
          <w:szCs w:val="20"/>
        </w:rPr>
      </w:pPr>
    </w:p>
    <w:p w:rsidR="0099596B" w:rsidRPr="005759BD" w:rsidRDefault="0099596B" w:rsidP="0099596B">
      <w:pPr>
        <w:rPr>
          <w:rFonts w:ascii="Verdana" w:hAnsi="Verdana"/>
          <w:b/>
        </w:rPr>
      </w:pPr>
      <w:r w:rsidRPr="005759BD">
        <w:rPr>
          <w:rFonts w:ascii="Verdana" w:hAnsi="Verdana"/>
          <w:b/>
        </w:rPr>
        <w:t xml:space="preserve">Behandling </w:t>
      </w:r>
    </w:p>
    <w:p w:rsidR="0099596B" w:rsidRPr="005759BD" w:rsidRDefault="0099596B" w:rsidP="0099596B">
      <w:pPr>
        <w:rPr>
          <w:rFonts w:ascii="Verdana" w:hAnsi="Verdana" w:cs="Calibri"/>
          <w:b/>
          <w:sz w:val="20"/>
        </w:rPr>
      </w:pPr>
      <w:r>
        <w:rPr>
          <w:rFonts w:ascii="Verdana" w:hAnsi="Verdana" w:cs="Calibri"/>
          <w:sz w:val="20"/>
          <w:u w:val="single"/>
        </w:rPr>
        <w:t>U</w:t>
      </w:r>
      <w:r w:rsidRPr="005759BD">
        <w:rPr>
          <w:rFonts w:ascii="Verdana" w:hAnsi="Verdana" w:cs="Calibri"/>
          <w:sz w:val="20"/>
          <w:u w:val="single"/>
        </w:rPr>
        <w:t xml:space="preserve">ppföljning </w:t>
      </w:r>
      <w:r>
        <w:rPr>
          <w:rFonts w:ascii="Verdana" w:hAnsi="Verdana" w:cs="Calibri"/>
          <w:sz w:val="20"/>
          <w:u w:val="single"/>
        </w:rPr>
        <w:t>i öppenvård</w:t>
      </w:r>
      <w:r w:rsidR="00AC5F95">
        <w:rPr>
          <w:rFonts w:ascii="Verdana" w:hAnsi="Verdana" w:cs="Calibri"/>
          <w:sz w:val="20"/>
          <w:u w:val="single"/>
        </w:rPr>
        <w:t xml:space="preserve"> (t ex BUMM)</w:t>
      </w:r>
      <w:r w:rsidRPr="005759BD">
        <w:rPr>
          <w:rFonts w:ascii="Verdana" w:hAnsi="Verdana" w:cs="Calibri"/>
          <w:sz w:val="20"/>
        </w:rPr>
        <w:t xml:space="preserve">: lindrig </w:t>
      </w:r>
      <w:proofErr w:type="spellStart"/>
      <w:r w:rsidRPr="005759BD">
        <w:rPr>
          <w:rFonts w:ascii="Verdana" w:hAnsi="Verdana" w:cs="Calibri"/>
          <w:sz w:val="20"/>
        </w:rPr>
        <w:t>purpura</w:t>
      </w:r>
      <w:proofErr w:type="spellEnd"/>
      <w:r w:rsidRPr="005759BD">
        <w:rPr>
          <w:rFonts w:ascii="Verdana" w:hAnsi="Verdana" w:cs="Calibri"/>
          <w:sz w:val="20"/>
        </w:rPr>
        <w:t xml:space="preserve"> (få blåmärken och </w:t>
      </w:r>
      <w:proofErr w:type="spellStart"/>
      <w:r w:rsidRPr="005759BD">
        <w:rPr>
          <w:rFonts w:ascii="Verdana" w:hAnsi="Verdana" w:cs="Calibri"/>
          <w:sz w:val="20"/>
        </w:rPr>
        <w:t>petekier</w:t>
      </w:r>
      <w:proofErr w:type="spellEnd"/>
      <w:r w:rsidRPr="005759BD">
        <w:rPr>
          <w:rFonts w:ascii="Verdana" w:hAnsi="Verdana" w:cs="Calibri"/>
          <w:sz w:val="20"/>
        </w:rPr>
        <w:t xml:space="preserve"> utan slem-hinneblödning)</w:t>
      </w:r>
      <w:r>
        <w:rPr>
          <w:rFonts w:ascii="Verdana" w:hAnsi="Verdana" w:cs="Calibri"/>
          <w:sz w:val="20"/>
        </w:rPr>
        <w:t xml:space="preserve"> </w:t>
      </w:r>
      <w:r w:rsidRPr="005759BD">
        <w:rPr>
          <w:rFonts w:ascii="Verdana" w:hAnsi="Verdana" w:cs="Calibri"/>
          <w:sz w:val="20"/>
        </w:rPr>
        <w:t>med TPK &gt;20 × 10</w:t>
      </w:r>
      <w:r w:rsidRPr="005759BD">
        <w:rPr>
          <w:rFonts w:ascii="Verdana" w:hAnsi="Verdana" w:cs="Calibri"/>
          <w:sz w:val="20"/>
          <w:vertAlign w:val="superscript"/>
        </w:rPr>
        <w:t>9</w:t>
      </w:r>
      <w:r w:rsidRPr="005759BD">
        <w:rPr>
          <w:rFonts w:ascii="Verdana" w:hAnsi="Verdana" w:cs="Calibri"/>
          <w:sz w:val="20"/>
        </w:rPr>
        <w:t>/L hos ett stillsamt barn behöver inte behandlas.</w:t>
      </w:r>
      <w:r>
        <w:rPr>
          <w:rFonts w:ascii="Verdana" w:hAnsi="Verdana" w:cs="Calibri"/>
          <w:sz w:val="20"/>
        </w:rPr>
        <w:t xml:space="preserve"> Noggrann, lugnande info</w:t>
      </w:r>
      <w:r w:rsidR="00AC5F95">
        <w:rPr>
          <w:rFonts w:ascii="Verdana" w:hAnsi="Verdana" w:cs="Calibri"/>
          <w:sz w:val="20"/>
        </w:rPr>
        <w:t>rmation</w:t>
      </w:r>
      <w:r>
        <w:rPr>
          <w:rFonts w:ascii="Verdana" w:hAnsi="Verdana" w:cs="Calibri"/>
          <w:sz w:val="20"/>
        </w:rPr>
        <w:t xml:space="preserve"> viktig.</w:t>
      </w:r>
    </w:p>
    <w:p w:rsidR="0099596B" w:rsidRDefault="0099596B" w:rsidP="0099596B">
      <w:pPr>
        <w:rPr>
          <w:rFonts w:ascii="Verdana" w:hAnsi="Verdana" w:cs="Calibri"/>
          <w:sz w:val="20"/>
          <w:u w:val="single"/>
        </w:rPr>
      </w:pPr>
    </w:p>
    <w:p w:rsidR="0099596B" w:rsidRDefault="0099596B" w:rsidP="0099596B">
      <w:pPr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  <w:u w:val="single"/>
        </w:rPr>
        <w:t>O</w:t>
      </w:r>
      <w:r w:rsidRPr="005759BD">
        <w:rPr>
          <w:rFonts w:ascii="Verdana" w:hAnsi="Verdana" w:cs="Calibri"/>
          <w:sz w:val="20"/>
          <w:u w:val="single"/>
        </w:rPr>
        <w:t>bservation inneliggande</w:t>
      </w:r>
      <w:r w:rsidRPr="005759BD">
        <w:rPr>
          <w:rFonts w:ascii="Verdana" w:hAnsi="Verdana" w:cs="Calibri"/>
          <w:sz w:val="20"/>
        </w:rPr>
        <w:t xml:space="preserve">: hastig debut och uttalad </w:t>
      </w:r>
      <w:proofErr w:type="spellStart"/>
      <w:r w:rsidRPr="005759BD">
        <w:rPr>
          <w:rFonts w:ascii="Verdana" w:hAnsi="Verdana" w:cs="Calibri"/>
          <w:sz w:val="20"/>
        </w:rPr>
        <w:t>purpura</w:t>
      </w:r>
      <w:proofErr w:type="spellEnd"/>
      <w:r w:rsidRPr="005759BD">
        <w:rPr>
          <w:rFonts w:ascii="Verdana" w:hAnsi="Verdana" w:cs="Calibri"/>
          <w:sz w:val="20"/>
        </w:rPr>
        <w:t xml:space="preserve">. Blodblåsor i munslemhinna och </w:t>
      </w:r>
      <w:proofErr w:type="spellStart"/>
      <w:r w:rsidRPr="005759BD">
        <w:rPr>
          <w:rFonts w:ascii="Verdana" w:hAnsi="Verdana" w:cs="Calibri"/>
          <w:sz w:val="20"/>
        </w:rPr>
        <w:t>hematuri</w:t>
      </w:r>
      <w:proofErr w:type="spellEnd"/>
      <w:r w:rsidRPr="005759BD">
        <w:rPr>
          <w:rFonts w:ascii="Verdana" w:hAnsi="Verdana" w:cs="Calibri"/>
          <w:sz w:val="20"/>
        </w:rPr>
        <w:t xml:space="preserve"> är förenat med ökad risk för inre och </w:t>
      </w:r>
      <w:proofErr w:type="spellStart"/>
      <w:r w:rsidRPr="005759BD">
        <w:rPr>
          <w:rFonts w:ascii="Verdana" w:hAnsi="Verdana" w:cs="Calibri"/>
          <w:sz w:val="20"/>
        </w:rPr>
        <w:t>intrakraniella</w:t>
      </w:r>
      <w:proofErr w:type="spellEnd"/>
      <w:r w:rsidRPr="005759BD">
        <w:rPr>
          <w:rFonts w:ascii="Verdana" w:hAnsi="Verdana" w:cs="Calibri"/>
          <w:sz w:val="20"/>
        </w:rPr>
        <w:t xml:space="preserve"> blödningar, som dock är ovanligt</w:t>
      </w:r>
      <w:r w:rsidR="00AC5F95">
        <w:rPr>
          <w:rFonts w:ascii="Verdana" w:hAnsi="Verdana" w:cs="Calibri"/>
          <w:sz w:val="20"/>
        </w:rPr>
        <w:t xml:space="preserve"> </w:t>
      </w:r>
      <w:r>
        <w:rPr>
          <w:rFonts w:ascii="Verdana" w:hAnsi="Verdana" w:cs="Calibri"/>
          <w:sz w:val="20"/>
        </w:rPr>
        <w:t>(&lt;1%)</w:t>
      </w:r>
      <w:r w:rsidRPr="005759BD">
        <w:rPr>
          <w:rFonts w:ascii="Verdana" w:hAnsi="Verdana" w:cs="Calibri"/>
          <w:sz w:val="20"/>
        </w:rPr>
        <w:t xml:space="preserve">. </w:t>
      </w:r>
      <w:r>
        <w:rPr>
          <w:rFonts w:ascii="Verdana" w:hAnsi="Verdana" w:cs="Calibri"/>
          <w:sz w:val="20"/>
        </w:rPr>
        <w:t>Små</w:t>
      </w:r>
      <w:r w:rsidRPr="005759BD">
        <w:rPr>
          <w:rFonts w:ascii="Verdana" w:hAnsi="Verdana" w:cs="Calibri"/>
          <w:sz w:val="20"/>
        </w:rPr>
        <w:t>barn</w:t>
      </w:r>
      <w:r>
        <w:rPr>
          <w:rFonts w:ascii="Verdana" w:hAnsi="Verdana" w:cs="Calibri"/>
          <w:sz w:val="20"/>
        </w:rPr>
        <w:t xml:space="preserve"> </w:t>
      </w:r>
      <w:r w:rsidRPr="005759BD">
        <w:rPr>
          <w:rFonts w:ascii="Verdana" w:hAnsi="Verdana" w:cs="Calibri"/>
          <w:sz w:val="20"/>
        </w:rPr>
        <w:t>bör få skyddshjälm.</w:t>
      </w:r>
    </w:p>
    <w:p w:rsidR="0099596B" w:rsidRDefault="0099596B" w:rsidP="0099596B">
      <w:pPr>
        <w:rPr>
          <w:rFonts w:ascii="Verdana" w:hAnsi="Verdana" w:cs="Calibri"/>
          <w:sz w:val="20"/>
        </w:rPr>
      </w:pPr>
    </w:p>
    <w:p w:rsidR="0099596B" w:rsidRDefault="0099596B" w:rsidP="0099596B">
      <w:pPr>
        <w:rPr>
          <w:rFonts w:ascii="Verdana" w:hAnsi="Verdana" w:cs="Calibri"/>
          <w:sz w:val="20"/>
        </w:rPr>
      </w:pPr>
    </w:p>
    <w:p w:rsidR="0099596B" w:rsidRDefault="0099596B" w:rsidP="0099596B">
      <w:pPr>
        <w:rPr>
          <w:rFonts w:ascii="Verdana" w:hAnsi="Verdana" w:cs="Calibri"/>
          <w:sz w:val="20"/>
        </w:rPr>
      </w:pPr>
    </w:p>
    <w:p w:rsidR="00AC5F95" w:rsidRDefault="0099596B" w:rsidP="0099596B">
      <w:pPr>
        <w:rPr>
          <w:rFonts w:ascii="Verdana" w:hAnsi="Verdana" w:cs="Calibri"/>
          <w:sz w:val="20"/>
        </w:rPr>
      </w:pPr>
      <w:r w:rsidRPr="005759BD">
        <w:rPr>
          <w:rFonts w:ascii="Verdana" w:hAnsi="Verdana" w:cs="Calibri"/>
          <w:sz w:val="20"/>
        </w:rPr>
        <w:t xml:space="preserve"> </w:t>
      </w:r>
    </w:p>
    <w:p w:rsidR="00AC5F95" w:rsidRDefault="00AC5F95" w:rsidP="0099596B">
      <w:pPr>
        <w:rPr>
          <w:rFonts w:ascii="Verdana" w:hAnsi="Verdana" w:cs="Calibri"/>
          <w:sz w:val="20"/>
        </w:rPr>
      </w:pPr>
      <w:bookmarkStart w:id="1" w:name="_GoBack"/>
      <w:bookmarkEnd w:id="1"/>
    </w:p>
    <w:p w:rsidR="0099596B" w:rsidRDefault="0099596B" w:rsidP="0099596B">
      <w:pPr>
        <w:rPr>
          <w:rFonts w:ascii="Verdana" w:hAnsi="Verdana" w:cs="Calibri"/>
          <w:sz w:val="20"/>
        </w:rPr>
      </w:pPr>
      <w:r w:rsidRPr="00B25D55">
        <w:rPr>
          <w:rFonts w:ascii="Verdana" w:hAnsi="Verdana" w:cs="Calibri"/>
          <w:b/>
          <w:sz w:val="20"/>
        </w:rPr>
        <w:t xml:space="preserve">Behandling vid trolig </w:t>
      </w:r>
      <w:proofErr w:type="spellStart"/>
      <w:r w:rsidRPr="00B25D55">
        <w:rPr>
          <w:rFonts w:ascii="Verdana" w:hAnsi="Verdana" w:cs="Calibri"/>
          <w:b/>
          <w:sz w:val="20"/>
        </w:rPr>
        <w:t>immuntrombocytopeni</w:t>
      </w:r>
      <w:proofErr w:type="spellEnd"/>
      <w:r>
        <w:rPr>
          <w:rFonts w:ascii="Verdana" w:hAnsi="Verdana" w:cs="Calibri"/>
          <w:sz w:val="20"/>
        </w:rPr>
        <w:t>:</w:t>
      </w:r>
    </w:p>
    <w:p w:rsidR="0099596B" w:rsidRPr="005759BD" w:rsidRDefault="0099596B" w:rsidP="0099596B">
      <w:pPr>
        <w:rPr>
          <w:rFonts w:ascii="Verdana" w:hAnsi="Verdana" w:cs="Calibri"/>
          <w:sz w:val="20"/>
        </w:rPr>
      </w:pPr>
    </w:p>
    <w:p w:rsidR="0099596B" w:rsidRPr="003A6114" w:rsidRDefault="0099596B" w:rsidP="0099596B">
      <w:pPr>
        <w:widowControl/>
        <w:numPr>
          <w:ilvl w:val="0"/>
          <w:numId w:val="1"/>
        </w:numPr>
        <w:spacing w:after="200"/>
        <w:contextualSpacing/>
        <w:rPr>
          <w:rFonts w:ascii="Verdana" w:hAnsi="Verdana" w:cs="Calibri"/>
          <w:sz w:val="20"/>
        </w:rPr>
      </w:pPr>
      <w:r w:rsidRPr="005759BD">
        <w:rPr>
          <w:rFonts w:ascii="Verdana" w:hAnsi="Verdana" w:cs="Calibri"/>
          <w:sz w:val="20"/>
        </w:rPr>
        <w:t xml:space="preserve">Vid slemhinneblödning, rikliga hudblödningar </w:t>
      </w:r>
      <w:r>
        <w:rPr>
          <w:rFonts w:ascii="Verdana" w:hAnsi="Verdana" w:cs="Calibri"/>
          <w:sz w:val="20"/>
        </w:rPr>
        <w:t>(TPK understiger då vanligen 10</w:t>
      </w:r>
      <w:r w:rsidRPr="005759BD">
        <w:rPr>
          <w:rFonts w:ascii="Verdana" w:hAnsi="Verdana" w:cs="Calibri"/>
          <w:sz w:val="20"/>
        </w:rPr>
        <w:t>× 10</w:t>
      </w:r>
      <w:r w:rsidRPr="005759BD">
        <w:rPr>
          <w:rFonts w:ascii="Verdana" w:hAnsi="Verdana" w:cs="Calibri"/>
          <w:sz w:val="20"/>
          <w:vertAlign w:val="superscript"/>
        </w:rPr>
        <w:t>9</w:t>
      </w:r>
      <w:r>
        <w:rPr>
          <w:rFonts w:ascii="Verdana" w:hAnsi="Verdana" w:cs="Calibri"/>
          <w:sz w:val="20"/>
        </w:rPr>
        <w:t xml:space="preserve">/L) ge </w:t>
      </w:r>
      <w:proofErr w:type="spellStart"/>
      <w:r>
        <w:rPr>
          <w:rFonts w:ascii="Verdana" w:hAnsi="Verdana" w:cs="Calibri"/>
          <w:sz w:val="20"/>
        </w:rPr>
        <w:t>ivIgG</w:t>
      </w:r>
      <w:proofErr w:type="spellEnd"/>
      <w:r>
        <w:rPr>
          <w:rFonts w:ascii="Verdana" w:hAnsi="Verdana" w:cs="Calibri"/>
          <w:sz w:val="20"/>
        </w:rPr>
        <w:t xml:space="preserve"> (</w:t>
      </w:r>
      <w:proofErr w:type="spellStart"/>
      <w:r>
        <w:rPr>
          <w:rFonts w:ascii="Verdana" w:hAnsi="Verdana" w:cs="Calibri"/>
          <w:sz w:val="20"/>
        </w:rPr>
        <w:t>Kiovig</w:t>
      </w:r>
      <w:proofErr w:type="spellEnd"/>
      <w:r>
        <w:rPr>
          <w:rFonts w:ascii="Verdana" w:hAnsi="Verdana" w:cs="Calibri"/>
          <w:sz w:val="20"/>
        </w:rPr>
        <w:t xml:space="preserve">, </w:t>
      </w:r>
      <w:proofErr w:type="spellStart"/>
      <w:r>
        <w:rPr>
          <w:rFonts w:ascii="Verdana" w:hAnsi="Verdana" w:cs="Calibri"/>
          <w:sz w:val="20"/>
        </w:rPr>
        <w:t>Privigen</w:t>
      </w:r>
      <w:proofErr w:type="spellEnd"/>
      <w:r>
        <w:rPr>
          <w:rFonts w:ascii="Verdana" w:hAnsi="Verdana" w:cs="Calibri"/>
          <w:sz w:val="20"/>
        </w:rPr>
        <w:t>)</w:t>
      </w:r>
      <w:r w:rsidRPr="005759BD">
        <w:rPr>
          <w:rFonts w:ascii="Verdana" w:hAnsi="Verdana" w:cs="Calibri"/>
          <w:sz w:val="20"/>
        </w:rPr>
        <w:t xml:space="preserve"> </w:t>
      </w:r>
      <w:r>
        <w:rPr>
          <w:rFonts w:ascii="Verdana" w:hAnsi="Verdana" w:cs="Calibri"/>
          <w:sz w:val="20"/>
        </w:rPr>
        <w:t>0.8-</w:t>
      </w:r>
      <w:r w:rsidRPr="005759BD">
        <w:rPr>
          <w:rFonts w:ascii="Verdana" w:hAnsi="Verdana" w:cs="Calibri"/>
          <w:sz w:val="20"/>
        </w:rPr>
        <w:t xml:space="preserve">1 g/kg enligt särskilt </w:t>
      </w:r>
      <w:r>
        <w:rPr>
          <w:rFonts w:ascii="Verdana" w:hAnsi="Verdana" w:cs="Calibri"/>
          <w:sz w:val="20"/>
        </w:rPr>
        <w:t>upptrappnings</w:t>
      </w:r>
      <w:r w:rsidRPr="005759BD">
        <w:rPr>
          <w:rFonts w:ascii="Verdana" w:hAnsi="Verdana" w:cs="Calibri"/>
          <w:sz w:val="20"/>
        </w:rPr>
        <w:t>schema</w:t>
      </w:r>
      <w:r>
        <w:rPr>
          <w:rFonts w:ascii="Verdana" w:hAnsi="Verdana" w:cs="Calibri"/>
          <w:sz w:val="20"/>
        </w:rPr>
        <w:t xml:space="preserve"> (finns i läkemedelsmodul el på avdelningen) </w:t>
      </w:r>
      <w:r w:rsidRPr="005759BD">
        <w:rPr>
          <w:rFonts w:ascii="Verdana" w:hAnsi="Verdana" w:cs="Calibri"/>
          <w:sz w:val="20"/>
        </w:rPr>
        <w:t>som upprepas påföljande dag om fortsatt TPK &lt;20 × 10</w:t>
      </w:r>
      <w:r w:rsidRPr="005759BD">
        <w:rPr>
          <w:rFonts w:ascii="Verdana" w:hAnsi="Verdana" w:cs="Calibri"/>
          <w:sz w:val="20"/>
          <w:vertAlign w:val="superscript"/>
        </w:rPr>
        <w:t>9</w:t>
      </w:r>
      <w:r w:rsidRPr="005759BD">
        <w:rPr>
          <w:rFonts w:ascii="Verdana" w:hAnsi="Verdana" w:cs="Calibri"/>
          <w:sz w:val="20"/>
        </w:rPr>
        <w:t xml:space="preserve">/L. </w:t>
      </w:r>
      <w:r>
        <w:rPr>
          <w:rFonts w:ascii="Verdana" w:hAnsi="Verdana" w:cs="Calibri"/>
          <w:sz w:val="20"/>
        </w:rPr>
        <w:t xml:space="preserve">Avrunda dos till närmaste hela flaskstorlekar. </w:t>
      </w:r>
      <w:r>
        <w:rPr>
          <w:rFonts w:ascii="Verdana" w:hAnsi="Verdana" w:cs="Calibri"/>
          <w:i/>
          <w:sz w:val="20"/>
        </w:rPr>
        <w:t xml:space="preserve">Obs: patienten skall </w:t>
      </w:r>
      <w:r w:rsidRPr="00CE438C">
        <w:rPr>
          <w:rFonts w:ascii="Verdana" w:hAnsi="Verdana" w:cs="Calibri"/>
          <w:i/>
          <w:sz w:val="20"/>
        </w:rPr>
        <w:t>vara adekvat hydrerad inför behandling!</w:t>
      </w:r>
      <w:r>
        <w:rPr>
          <w:rFonts w:ascii="Verdana" w:hAnsi="Verdana" w:cs="Calibri"/>
          <w:i/>
          <w:sz w:val="20"/>
        </w:rPr>
        <w:t xml:space="preserve"> </w:t>
      </w:r>
    </w:p>
    <w:p w:rsidR="0099596B" w:rsidRDefault="0099596B" w:rsidP="0099596B">
      <w:pPr>
        <w:rPr>
          <w:rFonts w:ascii="Verdana" w:hAnsi="Verdana" w:cs="Calibri"/>
          <w:sz w:val="20"/>
        </w:rPr>
      </w:pPr>
    </w:p>
    <w:p w:rsidR="0099596B" w:rsidRDefault="0099596B" w:rsidP="0099596B">
      <w:pPr>
        <w:widowControl/>
        <w:numPr>
          <w:ilvl w:val="0"/>
          <w:numId w:val="1"/>
        </w:numPr>
        <w:spacing w:after="200"/>
        <w:contextualSpacing/>
        <w:rPr>
          <w:rFonts w:ascii="Verdana" w:hAnsi="Verdana" w:cs="Calibri"/>
          <w:sz w:val="20"/>
        </w:rPr>
      </w:pPr>
      <w:r w:rsidRPr="005759BD">
        <w:rPr>
          <w:rFonts w:ascii="Verdana" w:hAnsi="Verdana" w:cs="Calibri"/>
          <w:sz w:val="20"/>
        </w:rPr>
        <w:t xml:space="preserve">Perorala </w:t>
      </w:r>
      <w:proofErr w:type="spellStart"/>
      <w:r w:rsidRPr="005759BD">
        <w:rPr>
          <w:rFonts w:ascii="Verdana" w:hAnsi="Verdana" w:cs="Calibri"/>
          <w:sz w:val="20"/>
        </w:rPr>
        <w:t>kortikosteroider</w:t>
      </w:r>
      <w:proofErr w:type="spellEnd"/>
      <w:r w:rsidRPr="005759BD">
        <w:rPr>
          <w:rFonts w:ascii="Verdana" w:hAnsi="Verdana" w:cs="Calibri"/>
          <w:sz w:val="20"/>
        </w:rPr>
        <w:t xml:space="preserve"> (t</w:t>
      </w:r>
      <w:r>
        <w:rPr>
          <w:rFonts w:ascii="Verdana" w:hAnsi="Verdana" w:cs="Calibri"/>
          <w:sz w:val="20"/>
        </w:rPr>
        <w:t>.</w:t>
      </w:r>
      <w:r w:rsidRPr="005759BD">
        <w:rPr>
          <w:rFonts w:ascii="Verdana" w:hAnsi="Verdana" w:cs="Calibri"/>
          <w:sz w:val="20"/>
        </w:rPr>
        <w:t>ex</w:t>
      </w:r>
      <w:r>
        <w:rPr>
          <w:rFonts w:ascii="Verdana" w:hAnsi="Verdana" w:cs="Calibri"/>
          <w:sz w:val="20"/>
        </w:rPr>
        <w:t>.</w:t>
      </w:r>
      <w:r w:rsidRPr="005759BD">
        <w:rPr>
          <w:rFonts w:ascii="Verdana" w:hAnsi="Verdana" w:cs="Calibri"/>
          <w:sz w:val="20"/>
        </w:rPr>
        <w:t xml:space="preserve"> </w:t>
      </w:r>
      <w:proofErr w:type="spellStart"/>
      <w:r w:rsidRPr="005759BD">
        <w:rPr>
          <w:rFonts w:ascii="Verdana" w:hAnsi="Verdana" w:cs="Calibri"/>
          <w:sz w:val="20"/>
        </w:rPr>
        <w:t>prednisolon</w:t>
      </w:r>
      <w:proofErr w:type="spellEnd"/>
      <w:r w:rsidRPr="005759BD">
        <w:rPr>
          <w:rFonts w:ascii="Verdana" w:hAnsi="Verdana" w:cs="Calibri"/>
          <w:sz w:val="20"/>
        </w:rPr>
        <w:t xml:space="preserve"> 2 mg/kg/d i 1 v, 1 mg/kg/d i 1 v och 0,5 mg/kg</w:t>
      </w:r>
      <w:r w:rsidR="00AC5F95">
        <w:rPr>
          <w:rFonts w:ascii="Verdana" w:hAnsi="Verdana" w:cs="Calibri"/>
          <w:sz w:val="20"/>
        </w:rPr>
        <w:t>, max 180 mg/d</w:t>
      </w:r>
      <w:r w:rsidRPr="005759BD">
        <w:rPr>
          <w:rFonts w:ascii="Verdana" w:hAnsi="Verdana" w:cs="Calibri"/>
          <w:sz w:val="20"/>
        </w:rPr>
        <w:t xml:space="preserve"> </w:t>
      </w:r>
      <w:r>
        <w:rPr>
          <w:rFonts w:ascii="Verdana" w:hAnsi="Verdana" w:cs="Calibri"/>
          <w:sz w:val="20"/>
        </w:rPr>
        <w:t xml:space="preserve">i </w:t>
      </w:r>
      <w:r w:rsidRPr="005759BD">
        <w:rPr>
          <w:rFonts w:ascii="Verdana" w:hAnsi="Verdana" w:cs="Calibri"/>
          <w:sz w:val="20"/>
        </w:rPr>
        <w:t>1 v</w:t>
      </w:r>
      <w:r w:rsidR="00AC5F95">
        <w:rPr>
          <w:rFonts w:ascii="Verdana" w:hAnsi="Verdana" w:cs="Calibri"/>
          <w:sz w:val="20"/>
        </w:rPr>
        <w:t xml:space="preserve"> </w:t>
      </w:r>
      <w:r>
        <w:rPr>
          <w:rFonts w:ascii="Verdana" w:hAnsi="Verdana" w:cs="Calibri"/>
          <w:sz w:val="20"/>
        </w:rPr>
        <w:t>och därefter utsättning oavsett TPK</w:t>
      </w:r>
      <w:r w:rsidRPr="005759BD">
        <w:rPr>
          <w:rFonts w:ascii="Verdana" w:hAnsi="Verdana" w:cs="Calibri"/>
          <w:sz w:val="20"/>
        </w:rPr>
        <w:t>) kan användas</w:t>
      </w:r>
      <w:r>
        <w:rPr>
          <w:rFonts w:ascii="Verdana" w:hAnsi="Verdana" w:cs="Calibri"/>
          <w:sz w:val="20"/>
        </w:rPr>
        <w:t>,</w:t>
      </w:r>
      <w:r w:rsidRPr="005759BD">
        <w:rPr>
          <w:rFonts w:ascii="Verdana" w:hAnsi="Verdana" w:cs="Calibri"/>
          <w:sz w:val="20"/>
        </w:rPr>
        <w:t xml:space="preserve"> </w:t>
      </w:r>
      <w:r>
        <w:rPr>
          <w:rFonts w:ascii="Verdana" w:hAnsi="Verdana" w:cs="Calibri"/>
          <w:sz w:val="20"/>
        </w:rPr>
        <w:t xml:space="preserve">framförallt i skolåldern </w:t>
      </w:r>
      <w:r w:rsidRPr="005759BD">
        <w:rPr>
          <w:rFonts w:ascii="Verdana" w:hAnsi="Verdana" w:cs="Calibri"/>
          <w:sz w:val="20"/>
        </w:rPr>
        <w:t>istället</w:t>
      </w:r>
      <w:r>
        <w:rPr>
          <w:rFonts w:ascii="Verdana" w:hAnsi="Verdana" w:cs="Calibri"/>
          <w:sz w:val="20"/>
        </w:rPr>
        <w:t xml:space="preserve"> </w:t>
      </w:r>
      <w:r w:rsidRPr="005759BD">
        <w:rPr>
          <w:rFonts w:ascii="Verdana" w:hAnsi="Verdana" w:cs="Calibri"/>
          <w:sz w:val="20"/>
        </w:rPr>
        <w:t xml:space="preserve">för </w:t>
      </w:r>
      <w:proofErr w:type="spellStart"/>
      <w:r>
        <w:rPr>
          <w:rFonts w:ascii="Verdana" w:hAnsi="Verdana" w:cs="Calibri"/>
          <w:sz w:val="20"/>
        </w:rPr>
        <w:t>ivIg</w:t>
      </w:r>
      <w:r w:rsidRPr="005759BD">
        <w:rPr>
          <w:rFonts w:ascii="Verdana" w:hAnsi="Verdana" w:cs="Calibri"/>
          <w:sz w:val="20"/>
        </w:rPr>
        <w:t>G</w:t>
      </w:r>
      <w:proofErr w:type="spellEnd"/>
      <w:r w:rsidRPr="005759BD">
        <w:rPr>
          <w:rFonts w:ascii="Verdana" w:hAnsi="Verdana" w:cs="Calibri"/>
          <w:sz w:val="20"/>
        </w:rPr>
        <w:t>.</w:t>
      </w:r>
      <w:r w:rsidR="00AC5F95">
        <w:rPr>
          <w:rFonts w:ascii="Verdana" w:hAnsi="Verdana" w:cs="Calibri"/>
          <w:sz w:val="20"/>
        </w:rPr>
        <w:t xml:space="preserve"> Har en långsammare effekt än </w:t>
      </w:r>
      <w:proofErr w:type="spellStart"/>
      <w:r w:rsidR="00AC5F95">
        <w:rPr>
          <w:rFonts w:ascii="Verdana" w:hAnsi="Verdana" w:cs="Calibri"/>
          <w:sz w:val="20"/>
        </w:rPr>
        <w:t>i</w:t>
      </w:r>
      <w:r>
        <w:rPr>
          <w:rFonts w:ascii="Verdana" w:hAnsi="Verdana" w:cs="Calibri"/>
          <w:sz w:val="20"/>
        </w:rPr>
        <w:t>vIgG</w:t>
      </w:r>
      <w:proofErr w:type="spellEnd"/>
      <w:r>
        <w:rPr>
          <w:rFonts w:ascii="Verdana" w:hAnsi="Verdana" w:cs="Calibri"/>
          <w:sz w:val="20"/>
        </w:rPr>
        <w:t>.</w:t>
      </w:r>
    </w:p>
    <w:p w:rsidR="0099596B" w:rsidRPr="005759BD" w:rsidRDefault="0099596B" w:rsidP="0099596B">
      <w:pPr>
        <w:rPr>
          <w:rFonts w:ascii="Verdana" w:hAnsi="Verdana" w:cs="Calibri"/>
          <w:sz w:val="20"/>
        </w:rPr>
      </w:pPr>
    </w:p>
    <w:p w:rsidR="0099596B" w:rsidRDefault="0099596B" w:rsidP="0099596B">
      <w:pPr>
        <w:widowControl/>
        <w:numPr>
          <w:ilvl w:val="0"/>
          <w:numId w:val="1"/>
        </w:numPr>
        <w:spacing w:after="200"/>
        <w:contextualSpacing/>
        <w:rPr>
          <w:rFonts w:ascii="Verdana" w:hAnsi="Verdana" w:cs="Calibri"/>
          <w:sz w:val="20"/>
        </w:rPr>
      </w:pPr>
      <w:r w:rsidRPr="005759BD">
        <w:rPr>
          <w:rFonts w:ascii="Verdana" w:hAnsi="Verdana" w:cs="Calibri"/>
          <w:sz w:val="20"/>
        </w:rPr>
        <w:t xml:space="preserve">I svåra fall kan </w:t>
      </w:r>
      <w:proofErr w:type="spellStart"/>
      <w:r w:rsidR="00AC5F95">
        <w:rPr>
          <w:rFonts w:ascii="Verdana" w:hAnsi="Verdana" w:cs="Calibri"/>
          <w:sz w:val="20"/>
        </w:rPr>
        <w:t>i</w:t>
      </w:r>
      <w:r>
        <w:rPr>
          <w:rFonts w:ascii="Verdana" w:hAnsi="Verdana" w:cs="Calibri"/>
          <w:sz w:val="20"/>
        </w:rPr>
        <w:t>vIgG</w:t>
      </w:r>
      <w:proofErr w:type="spellEnd"/>
      <w:r w:rsidRPr="005759BD">
        <w:rPr>
          <w:rFonts w:ascii="Verdana" w:hAnsi="Verdana" w:cs="Calibri"/>
          <w:sz w:val="20"/>
        </w:rPr>
        <w:t xml:space="preserve"> och hög</w:t>
      </w:r>
      <w:r>
        <w:rPr>
          <w:rFonts w:ascii="Verdana" w:hAnsi="Verdana" w:cs="Calibri"/>
          <w:sz w:val="20"/>
        </w:rPr>
        <w:t xml:space="preserve"> </w:t>
      </w:r>
      <w:r w:rsidRPr="005759BD">
        <w:rPr>
          <w:rFonts w:ascii="Verdana" w:hAnsi="Verdana" w:cs="Calibri"/>
          <w:sz w:val="20"/>
        </w:rPr>
        <w:t xml:space="preserve">dos </w:t>
      </w:r>
      <w:proofErr w:type="spellStart"/>
      <w:r w:rsidRPr="005759BD">
        <w:rPr>
          <w:rFonts w:ascii="Verdana" w:hAnsi="Verdana" w:cs="Calibri"/>
          <w:sz w:val="20"/>
        </w:rPr>
        <w:t>kortikosteroider</w:t>
      </w:r>
      <w:proofErr w:type="spellEnd"/>
      <w:r w:rsidRPr="005759BD">
        <w:rPr>
          <w:rFonts w:ascii="Verdana" w:hAnsi="Verdana" w:cs="Calibri"/>
          <w:sz w:val="20"/>
        </w:rPr>
        <w:t xml:space="preserve"> (t ex </w:t>
      </w:r>
      <w:proofErr w:type="spellStart"/>
      <w:r w:rsidRPr="005759BD">
        <w:rPr>
          <w:rFonts w:ascii="Verdana" w:hAnsi="Verdana" w:cs="Calibri"/>
          <w:sz w:val="20"/>
        </w:rPr>
        <w:t>Solu-</w:t>
      </w:r>
      <w:r w:rsidR="00AC5F95">
        <w:rPr>
          <w:rFonts w:ascii="Verdana" w:hAnsi="Verdana" w:cs="Calibri"/>
          <w:sz w:val="20"/>
        </w:rPr>
        <w:t>Medrol</w:t>
      </w:r>
      <w:proofErr w:type="spellEnd"/>
      <w:r w:rsidR="00AC5F95">
        <w:rPr>
          <w:rFonts w:ascii="Verdana" w:hAnsi="Verdana" w:cs="Calibri"/>
          <w:sz w:val="20"/>
        </w:rPr>
        <w:t xml:space="preserve"> 30 mg/kg, max 1 g</w:t>
      </w:r>
      <w:r w:rsidRPr="005759BD">
        <w:rPr>
          <w:rFonts w:ascii="Verdana" w:hAnsi="Verdana" w:cs="Calibri"/>
          <w:sz w:val="20"/>
        </w:rPr>
        <w:t>) kombiner</w:t>
      </w:r>
      <w:r>
        <w:rPr>
          <w:rFonts w:ascii="Verdana" w:hAnsi="Verdana" w:cs="Calibri"/>
          <w:sz w:val="20"/>
        </w:rPr>
        <w:t xml:space="preserve">as. </w:t>
      </w:r>
      <w:proofErr w:type="spellStart"/>
      <w:r>
        <w:rPr>
          <w:rFonts w:ascii="Verdana" w:hAnsi="Verdana" w:cs="Calibri"/>
          <w:sz w:val="20"/>
        </w:rPr>
        <w:t>Ev</w:t>
      </w:r>
      <w:proofErr w:type="spellEnd"/>
      <w:r>
        <w:rPr>
          <w:rFonts w:ascii="Verdana" w:hAnsi="Verdana" w:cs="Calibri"/>
          <w:sz w:val="20"/>
        </w:rPr>
        <w:t xml:space="preserve"> tillägg av </w:t>
      </w:r>
      <w:proofErr w:type="spellStart"/>
      <w:r>
        <w:rPr>
          <w:rFonts w:ascii="Verdana" w:hAnsi="Verdana" w:cs="Calibri"/>
          <w:sz w:val="20"/>
        </w:rPr>
        <w:t>cyklokapron</w:t>
      </w:r>
      <w:proofErr w:type="spellEnd"/>
      <w:r>
        <w:rPr>
          <w:rFonts w:ascii="Verdana" w:hAnsi="Verdana" w:cs="Calibri"/>
          <w:sz w:val="20"/>
        </w:rPr>
        <w:t xml:space="preserve"> 10 mg/kg x 3 iv. Vid grav </w:t>
      </w:r>
      <w:proofErr w:type="spellStart"/>
      <w:r>
        <w:rPr>
          <w:rFonts w:ascii="Verdana" w:hAnsi="Verdana" w:cs="Calibri"/>
          <w:sz w:val="20"/>
        </w:rPr>
        <w:t>anemiserande</w:t>
      </w:r>
      <w:proofErr w:type="spellEnd"/>
      <w:r>
        <w:rPr>
          <w:rFonts w:ascii="Verdana" w:hAnsi="Verdana" w:cs="Calibri"/>
          <w:sz w:val="20"/>
        </w:rPr>
        <w:t xml:space="preserve"> blödning eller</w:t>
      </w:r>
      <w:r w:rsidRPr="005759BD">
        <w:rPr>
          <w:rFonts w:ascii="Verdana" w:hAnsi="Verdana" w:cs="Calibri"/>
          <w:sz w:val="20"/>
        </w:rPr>
        <w:t xml:space="preserve"> </w:t>
      </w:r>
      <w:proofErr w:type="spellStart"/>
      <w:r>
        <w:rPr>
          <w:rFonts w:ascii="Verdana" w:hAnsi="Verdana" w:cs="Calibri"/>
          <w:sz w:val="20"/>
        </w:rPr>
        <w:t>ffa</w:t>
      </w:r>
      <w:proofErr w:type="spellEnd"/>
      <w:r>
        <w:rPr>
          <w:rFonts w:ascii="Verdana" w:hAnsi="Verdana" w:cs="Calibri"/>
          <w:sz w:val="20"/>
        </w:rPr>
        <w:t xml:space="preserve"> </w:t>
      </w:r>
      <w:r w:rsidRPr="005759BD">
        <w:rPr>
          <w:rFonts w:ascii="Verdana" w:hAnsi="Verdana" w:cs="Calibri"/>
          <w:sz w:val="20"/>
        </w:rPr>
        <w:t>CNS-blödning</w:t>
      </w:r>
      <w:r>
        <w:rPr>
          <w:rFonts w:ascii="Verdana" w:hAnsi="Verdana" w:cs="Calibri"/>
          <w:sz w:val="20"/>
        </w:rPr>
        <w:t>(IVA-fall)</w:t>
      </w:r>
      <w:r w:rsidRPr="005759BD">
        <w:rPr>
          <w:rFonts w:ascii="Verdana" w:hAnsi="Verdana" w:cs="Calibri"/>
          <w:sz w:val="20"/>
        </w:rPr>
        <w:t xml:space="preserve"> ge</w:t>
      </w:r>
      <w:r>
        <w:rPr>
          <w:rFonts w:ascii="Verdana" w:hAnsi="Verdana" w:cs="Calibri"/>
          <w:sz w:val="20"/>
        </w:rPr>
        <w:t>s dessutom dubbla mängden</w:t>
      </w:r>
      <w:r w:rsidRPr="005759BD">
        <w:rPr>
          <w:rFonts w:ascii="Verdana" w:hAnsi="Verdana" w:cs="Calibri"/>
          <w:sz w:val="20"/>
        </w:rPr>
        <w:t xml:space="preserve"> trombocytkoncentrat </w:t>
      </w:r>
      <w:r>
        <w:rPr>
          <w:rFonts w:ascii="Verdana" w:hAnsi="Verdana" w:cs="Calibri"/>
          <w:sz w:val="20"/>
        </w:rPr>
        <w:t xml:space="preserve">20-25 </w:t>
      </w:r>
      <w:r w:rsidRPr="005759BD">
        <w:rPr>
          <w:rFonts w:ascii="Verdana" w:hAnsi="Verdana" w:cs="Calibri"/>
          <w:sz w:val="20"/>
        </w:rPr>
        <w:t>m</w:t>
      </w:r>
      <w:r>
        <w:rPr>
          <w:rFonts w:ascii="Verdana" w:hAnsi="Verdana" w:cs="Calibri"/>
          <w:sz w:val="20"/>
        </w:rPr>
        <w:t>l</w:t>
      </w:r>
      <w:r w:rsidRPr="005759BD">
        <w:rPr>
          <w:rFonts w:ascii="Verdana" w:hAnsi="Verdana" w:cs="Calibri"/>
          <w:sz w:val="20"/>
        </w:rPr>
        <w:t>/kg</w:t>
      </w:r>
      <w:r>
        <w:rPr>
          <w:rFonts w:ascii="Verdana" w:hAnsi="Verdana" w:cs="Calibri"/>
          <w:sz w:val="20"/>
        </w:rPr>
        <w:t xml:space="preserve">/ 30 min, upprepa </w:t>
      </w:r>
      <w:proofErr w:type="spellStart"/>
      <w:r>
        <w:rPr>
          <w:rFonts w:ascii="Verdana" w:hAnsi="Verdana" w:cs="Calibri"/>
          <w:sz w:val="20"/>
        </w:rPr>
        <w:t>vb</w:t>
      </w:r>
      <w:proofErr w:type="spellEnd"/>
      <w:r w:rsidRPr="005759BD">
        <w:rPr>
          <w:rFonts w:ascii="Verdana" w:hAnsi="Verdana" w:cs="Calibri"/>
          <w:sz w:val="20"/>
        </w:rPr>
        <w:t xml:space="preserve"> och </w:t>
      </w:r>
      <w:proofErr w:type="spellStart"/>
      <w:r w:rsidRPr="005759BD">
        <w:rPr>
          <w:rFonts w:ascii="Verdana" w:hAnsi="Verdana" w:cs="Calibri"/>
          <w:sz w:val="20"/>
        </w:rPr>
        <w:t>erytrocytkoncentrat</w:t>
      </w:r>
      <w:proofErr w:type="spellEnd"/>
      <w:r w:rsidRPr="005759BD">
        <w:rPr>
          <w:rFonts w:ascii="Verdana" w:hAnsi="Verdana" w:cs="Calibri"/>
          <w:sz w:val="20"/>
        </w:rPr>
        <w:t xml:space="preserve"> 15 ml/kg</w:t>
      </w:r>
      <w:r>
        <w:rPr>
          <w:rFonts w:ascii="Verdana" w:hAnsi="Verdana" w:cs="Calibri"/>
          <w:sz w:val="20"/>
        </w:rPr>
        <w:t xml:space="preserve">, </w:t>
      </w:r>
      <w:proofErr w:type="spellStart"/>
      <w:r>
        <w:rPr>
          <w:rFonts w:ascii="Verdana" w:hAnsi="Verdana" w:cs="Calibri"/>
          <w:sz w:val="20"/>
        </w:rPr>
        <w:t>Solu-Medrol</w:t>
      </w:r>
      <w:proofErr w:type="spellEnd"/>
      <w:r>
        <w:rPr>
          <w:rFonts w:ascii="Verdana" w:hAnsi="Verdana" w:cs="Calibri"/>
          <w:sz w:val="20"/>
        </w:rPr>
        <w:t xml:space="preserve"> ökas till 30 mg/kg under noggrann kontroll av vätskebalans och BT.</w:t>
      </w:r>
      <w:r w:rsidRPr="005759BD">
        <w:rPr>
          <w:rFonts w:ascii="Verdana" w:hAnsi="Verdana" w:cs="Calibri"/>
          <w:sz w:val="20"/>
        </w:rPr>
        <w:t xml:space="preserve"> </w:t>
      </w:r>
      <w:r w:rsidRPr="003C0C48">
        <w:rPr>
          <w:rFonts w:ascii="Verdana" w:hAnsi="Verdana" w:cs="Calibri"/>
          <w:sz w:val="20"/>
        </w:rPr>
        <w:t xml:space="preserve">Svårstillade näsblödningar kan behöva tamponeras </w:t>
      </w:r>
      <w:r>
        <w:rPr>
          <w:rFonts w:ascii="Verdana" w:hAnsi="Verdana" w:cs="Calibri"/>
          <w:sz w:val="20"/>
        </w:rPr>
        <w:t>av</w:t>
      </w:r>
      <w:r w:rsidRPr="003C0C48">
        <w:rPr>
          <w:rFonts w:ascii="Verdana" w:hAnsi="Verdana" w:cs="Calibri"/>
          <w:sz w:val="20"/>
        </w:rPr>
        <w:t xml:space="preserve"> ÖNH-läkare! </w:t>
      </w:r>
    </w:p>
    <w:p w:rsidR="0099596B" w:rsidRDefault="0099596B" w:rsidP="0099596B">
      <w:pPr>
        <w:widowControl/>
        <w:spacing w:after="200"/>
        <w:contextualSpacing/>
        <w:rPr>
          <w:rFonts w:ascii="Verdana" w:hAnsi="Verdana" w:cs="Calibri"/>
          <w:sz w:val="20"/>
        </w:rPr>
      </w:pPr>
    </w:p>
    <w:p w:rsidR="0099596B" w:rsidRPr="00B25D55" w:rsidRDefault="0099596B" w:rsidP="0099596B">
      <w:pPr>
        <w:rPr>
          <w:rFonts w:ascii="Verdana" w:hAnsi="Verdana" w:cs="Calibri"/>
          <w:b/>
          <w:sz w:val="20"/>
        </w:rPr>
      </w:pPr>
      <w:r w:rsidRPr="00B25D55">
        <w:rPr>
          <w:rFonts w:ascii="Verdana" w:hAnsi="Verdana" w:cs="Calibri"/>
          <w:b/>
          <w:sz w:val="20"/>
        </w:rPr>
        <w:t xml:space="preserve">Behandling vid andra och oklara former av </w:t>
      </w:r>
      <w:proofErr w:type="spellStart"/>
      <w:r w:rsidRPr="00B25D55">
        <w:rPr>
          <w:rFonts w:ascii="Verdana" w:hAnsi="Verdana" w:cs="Calibri"/>
          <w:b/>
          <w:sz w:val="20"/>
        </w:rPr>
        <w:t>trombocytopeni</w:t>
      </w:r>
      <w:proofErr w:type="spellEnd"/>
      <w:r w:rsidRPr="00B25D55">
        <w:rPr>
          <w:rFonts w:ascii="Verdana" w:hAnsi="Verdana" w:cs="Calibri"/>
          <w:b/>
          <w:sz w:val="20"/>
        </w:rPr>
        <w:t>:</w:t>
      </w:r>
    </w:p>
    <w:p w:rsidR="0099596B" w:rsidRDefault="0099596B" w:rsidP="0099596B">
      <w:pPr>
        <w:rPr>
          <w:rFonts w:ascii="Verdana" w:hAnsi="Verdana" w:cs="Calibri"/>
          <w:sz w:val="20"/>
        </w:rPr>
      </w:pPr>
    </w:p>
    <w:p w:rsidR="0099596B" w:rsidRPr="003C0C48" w:rsidRDefault="0099596B" w:rsidP="0099596B">
      <w:pPr>
        <w:widowControl/>
        <w:spacing w:after="200"/>
        <w:contextualSpacing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 xml:space="preserve">    * Diskutera alltid med hematologkonsult</w:t>
      </w:r>
    </w:p>
    <w:p w:rsidR="0099596B" w:rsidRDefault="0099596B" w:rsidP="0099596B">
      <w:pPr>
        <w:rPr>
          <w:rFonts w:ascii="Verdana" w:hAnsi="Verdana" w:cs="Calibri"/>
          <w:sz w:val="20"/>
        </w:rPr>
      </w:pPr>
    </w:p>
    <w:p w:rsidR="0099596B" w:rsidRDefault="0099596B" w:rsidP="0099596B">
      <w:pPr>
        <w:rPr>
          <w:rFonts w:ascii="Verdana" w:hAnsi="Verdana" w:cs="Calibri"/>
          <w:sz w:val="20"/>
        </w:rPr>
      </w:pPr>
      <w:r w:rsidRPr="00B714C1">
        <w:rPr>
          <w:rFonts w:ascii="Verdana" w:hAnsi="Verdana" w:cs="Calibri"/>
          <w:b/>
          <w:sz w:val="20"/>
        </w:rPr>
        <w:t>Undvik</w:t>
      </w:r>
      <w:r>
        <w:rPr>
          <w:rFonts w:ascii="Verdana" w:hAnsi="Verdana" w:cs="Calibri"/>
          <w:sz w:val="20"/>
        </w:rPr>
        <w:t xml:space="preserve">: ASA/NSAID-behandling absolut kontraindicerad, intubation, </w:t>
      </w:r>
      <w:proofErr w:type="spellStart"/>
      <w:r>
        <w:rPr>
          <w:rFonts w:ascii="Verdana" w:hAnsi="Verdana" w:cs="Calibri"/>
          <w:sz w:val="20"/>
        </w:rPr>
        <w:t>im</w:t>
      </w:r>
      <w:proofErr w:type="spellEnd"/>
      <w:r>
        <w:rPr>
          <w:rFonts w:ascii="Verdana" w:hAnsi="Verdana" w:cs="Calibri"/>
          <w:sz w:val="20"/>
        </w:rPr>
        <w:t xml:space="preserve"> injektioner, temperaturtagning rektalt, lavemang och </w:t>
      </w:r>
      <w:proofErr w:type="spellStart"/>
      <w:r>
        <w:rPr>
          <w:rFonts w:ascii="Verdana" w:hAnsi="Verdana" w:cs="Calibri"/>
          <w:sz w:val="20"/>
        </w:rPr>
        <w:t>nasogastrisk</w:t>
      </w:r>
      <w:proofErr w:type="spellEnd"/>
      <w:r>
        <w:rPr>
          <w:rFonts w:ascii="Verdana" w:hAnsi="Verdana" w:cs="Calibri"/>
          <w:sz w:val="20"/>
        </w:rPr>
        <w:t xml:space="preserve"> sond vid </w:t>
      </w:r>
      <w:proofErr w:type="spellStart"/>
      <w:r>
        <w:rPr>
          <w:rFonts w:ascii="Verdana" w:hAnsi="Verdana" w:cs="Calibri"/>
          <w:sz w:val="20"/>
        </w:rPr>
        <w:t>trombocytopeni</w:t>
      </w:r>
      <w:proofErr w:type="spellEnd"/>
    </w:p>
    <w:p w:rsidR="00AC5F95" w:rsidRDefault="00AC5F95" w:rsidP="0099596B">
      <w:pPr>
        <w:rPr>
          <w:rFonts w:ascii="Verdana" w:hAnsi="Verdana" w:cs="Calibri"/>
          <w:b/>
          <w:sz w:val="20"/>
        </w:rPr>
      </w:pPr>
    </w:p>
    <w:p w:rsidR="0099596B" w:rsidRPr="005759BD" w:rsidRDefault="0099596B" w:rsidP="0099596B">
      <w:pPr>
        <w:rPr>
          <w:rFonts w:ascii="Verdana" w:hAnsi="Verdana" w:cs="Calibri"/>
          <w:sz w:val="20"/>
        </w:rPr>
      </w:pPr>
      <w:r w:rsidRPr="00B430B1">
        <w:rPr>
          <w:rFonts w:ascii="Verdana" w:hAnsi="Verdana" w:cs="Calibri"/>
          <w:b/>
          <w:sz w:val="20"/>
        </w:rPr>
        <w:t>Mer information.</w:t>
      </w:r>
      <w:r>
        <w:rPr>
          <w:rFonts w:ascii="Verdana" w:hAnsi="Verdana" w:cs="Calibri"/>
          <w:sz w:val="20"/>
        </w:rPr>
        <w:t xml:space="preserve"> </w:t>
      </w:r>
      <w:proofErr w:type="spellStart"/>
      <w:r>
        <w:rPr>
          <w:rFonts w:ascii="Verdana" w:hAnsi="Verdana" w:cs="Calibri"/>
          <w:sz w:val="20"/>
        </w:rPr>
        <w:t>VPHs</w:t>
      </w:r>
      <w:proofErr w:type="spellEnd"/>
      <w:r>
        <w:rPr>
          <w:rFonts w:ascii="Verdana" w:hAnsi="Verdana" w:cs="Calibri"/>
          <w:sz w:val="20"/>
        </w:rPr>
        <w:t xml:space="preserve"> vårdprogram om ITP på BLFs hemsida</w:t>
      </w:r>
    </w:p>
    <w:p w:rsidR="0099596B" w:rsidRDefault="0099596B" w:rsidP="0099596B">
      <w:pPr>
        <w:rPr>
          <w:rFonts w:ascii="Verdana" w:hAnsi="Verdana" w:cs="Calibri"/>
          <w:b/>
        </w:rPr>
      </w:pPr>
    </w:p>
    <w:p w:rsidR="0099596B" w:rsidRPr="005759BD" w:rsidRDefault="0099596B" w:rsidP="0099596B">
      <w:pPr>
        <w:rPr>
          <w:rFonts w:ascii="Verdana" w:hAnsi="Verdana" w:cs="Calibri"/>
        </w:rPr>
      </w:pPr>
      <w:r w:rsidRPr="005759BD">
        <w:rPr>
          <w:rFonts w:ascii="Verdana" w:hAnsi="Verdana" w:cs="Calibri"/>
          <w:b/>
        </w:rPr>
        <w:t>ICD 10 kod</w:t>
      </w:r>
      <w:r w:rsidRPr="005759BD">
        <w:rPr>
          <w:rFonts w:ascii="Verdana" w:hAnsi="Verdana" w:cs="Calibri"/>
          <w:b/>
        </w:rPr>
        <w:br/>
      </w:r>
      <w:r w:rsidRPr="005759BD">
        <w:rPr>
          <w:rFonts w:ascii="Verdana" w:hAnsi="Verdana" w:cs="Calibri"/>
          <w:sz w:val="20"/>
          <w:szCs w:val="20"/>
        </w:rPr>
        <w:t>D69.3</w:t>
      </w:r>
      <w:r w:rsidRPr="005759BD">
        <w:rPr>
          <w:rFonts w:ascii="Verdana" w:hAnsi="Verdana" w:cs="Calibri"/>
          <w:sz w:val="20"/>
          <w:szCs w:val="20"/>
        </w:rPr>
        <w:tab/>
        <w:t>ITP</w:t>
      </w:r>
      <w:r w:rsidRPr="005759BD">
        <w:rPr>
          <w:rFonts w:ascii="Verdana" w:hAnsi="Verdana" w:cs="Calibri"/>
          <w:sz w:val="20"/>
          <w:szCs w:val="20"/>
        </w:rPr>
        <w:br/>
        <w:t>D69.6</w:t>
      </w:r>
      <w:r w:rsidRPr="005759BD">
        <w:rPr>
          <w:rFonts w:ascii="Verdana" w:hAnsi="Verdana" w:cs="Calibri"/>
          <w:sz w:val="20"/>
          <w:szCs w:val="20"/>
        </w:rPr>
        <w:tab/>
      </w:r>
      <w:proofErr w:type="spellStart"/>
      <w:r w:rsidRPr="005759BD">
        <w:rPr>
          <w:rFonts w:ascii="Verdana" w:hAnsi="Verdana" w:cs="Calibri"/>
          <w:sz w:val="20"/>
          <w:szCs w:val="20"/>
        </w:rPr>
        <w:t>Trombocytopeni</w:t>
      </w:r>
      <w:proofErr w:type="spellEnd"/>
      <w:r w:rsidRPr="005759BD">
        <w:rPr>
          <w:rFonts w:ascii="Verdana" w:hAnsi="Verdana" w:cs="Calibri"/>
          <w:sz w:val="20"/>
          <w:szCs w:val="20"/>
        </w:rPr>
        <w:t>, ospecificerad</w:t>
      </w:r>
    </w:p>
    <w:p w:rsidR="0099596B" w:rsidRPr="005759BD" w:rsidRDefault="0099596B" w:rsidP="0099596B">
      <w:pPr>
        <w:rPr>
          <w:rFonts w:ascii="Verdana" w:hAnsi="Verdana" w:cs="Calibri"/>
          <w:sz w:val="20"/>
          <w:szCs w:val="20"/>
        </w:rPr>
      </w:pPr>
    </w:p>
    <w:p w:rsidR="0099596B" w:rsidRPr="005759BD" w:rsidRDefault="0099596B" w:rsidP="0099596B">
      <w:pPr>
        <w:rPr>
          <w:rFonts w:ascii="Verdana" w:hAnsi="Verdana" w:cs="Calibri"/>
          <w:sz w:val="20"/>
          <w:szCs w:val="20"/>
        </w:rPr>
      </w:pPr>
    </w:p>
    <w:p w:rsidR="0099596B" w:rsidRPr="005759BD" w:rsidRDefault="0099596B" w:rsidP="0099596B">
      <w:pPr>
        <w:rPr>
          <w:rFonts w:ascii="Verdana" w:hAnsi="Verdana" w:cs="Calibri"/>
          <w:sz w:val="20"/>
          <w:szCs w:val="20"/>
        </w:rPr>
      </w:pPr>
    </w:p>
    <w:p w:rsidR="0099596B" w:rsidRDefault="0099596B" w:rsidP="0099596B">
      <w:pPr>
        <w:rPr>
          <w:rFonts w:ascii="Verdana" w:hAnsi="Verdana" w:cs="Calibri"/>
          <w:sz w:val="20"/>
          <w:szCs w:val="20"/>
        </w:rPr>
      </w:pPr>
      <w:r w:rsidRPr="005759BD">
        <w:rPr>
          <w:rFonts w:ascii="Verdana" w:hAnsi="Verdana" w:cs="Calibri"/>
          <w:sz w:val="20"/>
          <w:szCs w:val="20"/>
        </w:rPr>
        <w:t>PM utformat av: Mikael Sundin</w:t>
      </w:r>
    </w:p>
    <w:p w:rsidR="0099596B" w:rsidRPr="005759BD" w:rsidRDefault="0099596B" w:rsidP="0099596B">
      <w:pPr>
        <w:rPr>
          <w:rFonts w:ascii="Verdana" w:hAnsi="Verdana" w:cs="Calibri"/>
          <w:sz w:val="20"/>
          <w:szCs w:val="20"/>
        </w:rPr>
      </w:pPr>
    </w:p>
    <w:p w:rsidR="0099596B" w:rsidRPr="005759BD" w:rsidRDefault="0099596B" w:rsidP="0099596B">
      <w:pPr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Faktagranskat, reviderat </w:t>
      </w:r>
      <w:r w:rsidRPr="005759BD">
        <w:rPr>
          <w:rFonts w:ascii="Verdana" w:hAnsi="Verdana" w:cs="Calibri"/>
          <w:sz w:val="20"/>
          <w:szCs w:val="20"/>
        </w:rPr>
        <w:t>201</w:t>
      </w:r>
      <w:r>
        <w:rPr>
          <w:rFonts w:ascii="Verdana" w:hAnsi="Verdana" w:cs="Calibri"/>
          <w:sz w:val="20"/>
          <w:szCs w:val="20"/>
        </w:rPr>
        <w:t xml:space="preserve">5-10-11 </w:t>
      </w:r>
      <w:r w:rsidRPr="005759BD">
        <w:rPr>
          <w:rFonts w:ascii="Verdana" w:hAnsi="Verdana" w:cs="Calibri"/>
          <w:sz w:val="20"/>
          <w:szCs w:val="20"/>
        </w:rPr>
        <w:t>av: Jacek Winiarski</w:t>
      </w:r>
      <w:r>
        <w:rPr>
          <w:rFonts w:ascii="Verdana" w:hAnsi="Verdana" w:cs="Calibri"/>
          <w:sz w:val="20"/>
          <w:szCs w:val="20"/>
        </w:rPr>
        <w:t xml:space="preserve"> </w:t>
      </w:r>
    </w:p>
    <w:p w:rsidR="0099596B" w:rsidRPr="004F2681" w:rsidRDefault="0099596B" w:rsidP="0099596B">
      <w:pPr>
        <w:widowControl/>
        <w:rPr>
          <w:b/>
          <w:sz w:val="28"/>
          <w:szCs w:val="28"/>
        </w:rPr>
      </w:pPr>
    </w:p>
    <w:p w:rsidR="0099596B" w:rsidRDefault="0099596B" w:rsidP="0099596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Pr="0073674B">
        <w:rPr>
          <w:b/>
          <w:sz w:val="28"/>
          <w:szCs w:val="28"/>
        </w:rPr>
        <w:t>historik</w:t>
      </w:r>
    </w:p>
    <w:p w:rsidR="0099596B" w:rsidRDefault="0099596B" w:rsidP="0099596B">
      <w:r>
        <w:t>Varje dokument bör innehålla en historik som för varje version talar om vad som ändrats, vem som gjort ändringen och när ändringen gjordes.</w:t>
      </w:r>
    </w:p>
    <w:p w:rsidR="0099596B" w:rsidRDefault="0099596B" w:rsidP="0099596B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99596B" w:rsidRPr="0073674B" w:rsidTr="00032FBD">
        <w:tc>
          <w:tcPr>
            <w:tcW w:w="1242" w:type="dxa"/>
            <w:shd w:val="clear" w:color="auto" w:fill="D9D9D9" w:themeFill="background1" w:themeFillShade="D9"/>
          </w:tcPr>
          <w:p w:rsidR="0099596B" w:rsidRPr="0073674B" w:rsidRDefault="0099596B" w:rsidP="00032FBD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9596B" w:rsidRPr="0073674B" w:rsidRDefault="0099596B" w:rsidP="00032FBD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99596B" w:rsidRPr="0073674B" w:rsidRDefault="0099596B" w:rsidP="00032FBD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99596B" w:rsidRPr="0073674B" w:rsidRDefault="0099596B" w:rsidP="00032FBD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99596B" w:rsidRPr="0073674B" w:rsidTr="00032FBD">
        <w:tc>
          <w:tcPr>
            <w:tcW w:w="1242" w:type="dxa"/>
          </w:tcPr>
          <w:p w:rsidR="0099596B" w:rsidRPr="0073674B" w:rsidRDefault="0099596B" w:rsidP="00032FBD">
            <w:r>
              <w:t>2</w:t>
            </w:r>
          </w:p>
        </w:tc>
        <w:tc>
          <w:tcPr>
            <w:tcW w:w="1418" w:type="dxa"/>
          </w:tcPr>
          <w:p w:rsidR="0099596B" w:rsidRPr="0073674B" w:rsidRDefault="0099596B" w:rsidP="00032FBD">
            <w:r>
              <w:t>141013</w:t>
            </w:r>
          </w:p>
        </w:tc>
        <w:tc>
          <w:tcPr>
            <w:tcW w:w="4248" w:type="dxa"/>
          </w:tcPr>
          <w:p w:rsidR="0099596B" w:rsidRPr="0073674B" w:rsidRDefault="0099596B" w:rsidP="00032FBD">
            <w:r>
              <w:t>Carina Ekberg</w:t>
            </w:r>
          </w:p>
        </w:tc>
        <w:tc>
          <w:tcPr>
            <w:tcW w:w="2303" w:type="dxa"/>
          </w:tcPr>
          <w:p w:rsidR="0099596B" w:rsidRPr="0073674B" w:rsidRDefault="0099596B" w:rsidP="00032FBD"/>
        </w:tc>
      </w:tr>
      <w:tr w:rsidR="0099596B" w:rsidRPr="0073674B" w:rsidTr="00032FBD">
        <w:tc>
          <w:tcPr>
            <w:tcW w:w="1242" w:type="dxa"/>
          </w:tcPr>
          <w:p w:rsidR="0099596B" w:rsidRPr="0073674B" w:rsidRDefault="0099596B" w:rsidP="00032FBD"/>
        </w:tc>
        <w:tc>
          <w:tcPr>
            <w:tcW w:w="1418" w:type="dxa"/>
          </w:tcPr>
          <w:p w:rsidR="0099596B" w:rsidRPr="0073674B" w:rsidRDefault="0099596B" w:rsidP="00032FBD">
            <w:r>
              <w:t>151011</w:t>
            </w:r>
          </w:p>
        </w:tc>
        <w:tc>
          <w:tcPr>
            <w:tcW w:w="4248" w:type="dxa"/>
          </w:tcPr>
          <w:p w:rsidR="0099596B" w:rsidRPr="0073674B" w:rsidRDefault="0099596B" w:rsidP="00032FBD">
            <w:r>
              <w:t>Faktagranskat/reviderat</w:t>
            </w:r>
          </w:p>
        </w:tc>
        <w:tc>
          <w:tcPr>
            <w:tcW w:w="2303" w:type="dxa"/>
          </w:tcPr>
          <w:p w:rsidR="0099596B" w:rsidRPr="0073674B" w:rsidRDefault="0099596B" w:rsidP="00032FBD">
            <w:r>
              <w:t>Jacek Winiarski</w:t>
            </w:r>
          </w:p>
        </w:tc>
      </w:tr>
      <w:tr w:rsidR="00AC5F95" w:rsidRPr="0073674B" w:rsidTr="00032FBD">
        <w:tc>
          <w:tcPr>
            <w:tcW w:w="1242" w:type="dxa"/>
          </w:tcPr>
          <w:p w:rsidR="00AC5F95" w:rsidRPr="0073674B" w:rsidRDefault="00AC5F95" w:rsidP="00032FBD"/>
        </w:tc>
        <w:tc>
          <w:tcPr>
            <w:tcW w:w="1418" w:type="dxa"/>
          </w:tcPr>
          <w:p w:rsidR="00AC5F95" w:rsidRDefault="00AC5F95" w:rsidP="00032FBD">
            <w:r>
              <w:t>151013</w:t>
            </w:r>
          </w:p>
        </w:tc>
        <w:tc>
          <w:tcPr>
            <w:tcW w:w="4248" w:type="dxa"/>
          </w:tcPr>
          <w:p w:rsidR="00AC5F95" w:rsidRDefault="00AC5F95" w:rsidP="00032FBD">
            <w:r>
              <w:t>Faktagranskat/reviderat</w:t>
            </w:r>
          </w:p>
        </w:tc>
        <w:tc>
          <w:tcPr>
            <w:tcW w:w="2303" w:type="dxa"/>
          </w:tcPr>
          <w:p w:rsidR="00AC5F95" w:rsidRDefault="00AC5F95" w:rsidP="00032FBD">
            <w:r>
              <w:t>Mikael Sundin</w:t>
            </w:r>
          </w:p>
        </w:tc>
      </w:tr>
      <w:tr w:rsidR="00A61EB5" w:rsidRPr="0073674B" w:rsidTr="00032FBD">
        <w:tc>
          <w:tcPr>
            <w:tcW w:w="1242" w:type="dxa"/>
          </w:tcPr>
          <w:p w:rsidR="00A61EB5" w:rsidRPr="0073674B" w:rsidRDefault="00A61EB5" w:rsidP="00032FBD">
            <w:r>
              <w:t>6</w:t>
            </w:r>
          </w:p>
        </w:tc>
        <w:tc>
          <w:tcPr>
            <w:tcW w:w="1418" w:type="dxa"/>
          </w:tcPr>
          <w:p w:rsidR="00A61EB5" w:rsidRDefault="00A61EB5" w:rsidP="00032FBD">
            <w:r>
              <w:t>170829</w:t>
            </w:r>
          </w:p>
        </w:tc>
        <w:tc>
          <w:tcPr>
            <w:tcW w:w="4248" w:type="dxa"/>
          </w:tcPr>
          <w:p w:rsidR="00A61EB5" w:rsidRDefault="00A61EB5" w:rsidP="00032FBD">
            <w:r>
              <w:t>Flyttat dokumentet till temastrukturen</w:t>
            </w:r>
          </w:p>
        </w:tc>
        <w:tc>
          <w:tcPr>
            <w:tcW w:w="2303" w:type="dxa"/>
          </w:tcPr>
          <w:p w:rsidR="00A61EB5" w:rsidRDefault="00A61EB5" w:rsidP="00032FBD">
            <w:r>
              <w:t>Nina Perrin</w:t>
            </w:r>
          </w:p>
        </w:tc>
      </w:tr>
    </w:tbl>
    <w:p w:rsidR="0099596B" w:rsidRPr="00CA60AD" w:rsidRDefault="0099596B" w:rsidP="0099596B">
      <w:pPr>
        <w:widowControl/>
        <w:rPr>
          <w:b/>
          <w:sz w:val="28"/>
          <w:szCs w:val="28"/>
          <w:lang w:val="en-US"/>
        </w:rPr>
      </w:pPr>
    </w:p>
    <w:p w:rsidR="006330C0" w:rsidRPr="009D2946" w:rsidRDefault="006330C0"/>
    <w:p w:rsidR="0073674B" w:rsidRPr="009D2946" w:rsidRDefault="0073674B">
      <w:pPr>
        <w:widowControl/>
        <w:rPr>
          <w:b/>
          <w:sz w:val="28"/>
          <w:szCs w:val="28"/>
        </w:rPr>
      </w:pPr>
    </w:p>
    <w:p w:rsidR="005262F7" w:rsidRPr="006330C0" w:rsidRDefault="005262F7" w:rsidP="0073674B"/>
    <w:sectPr w:rsidR="005262F7" w:rsidRPr="006330C0" w:rsidSect="0005185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6D7" w:rsidRDefault="005E36D7" w:rsidP="00F47081">
      <w:r>
        <w:separator/>
      </w:r>
    </w:p>
  </w:endnote>
  <w:endnote w:type="continuationSeparator" w:id="0">
    <w:p w:rsidR="005E36D7" w:rsidRDefault="005E36D7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414A6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4" w:name="handläggare_sf"/>
          <w:r>
            <w:rPr>
              <w:rFonts w:asciiTheme="minorHAnsi" w:hAnsiTheme="minorHAnsi"/>
              <w:sz w:val="16"/>
              <w:szCs w:val="16"/>
            </w:rPr>
            <w:t>Jacek Winiarski/Karolinska/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SLL;Mikael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Sundin/Karolinska/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SLL;Emma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Fahlström/Karolinska/SLL</w:t>
          </w:r>
          <w:bookmarkEnd w:id="4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414A6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dokumentnr_sf"/>
          <w:bookmarkStart w:id="6" w:name="löpnummer_sf"/>
          <w:bookmarkEnd w:id="5"/>
          <w:r>
            <w:rPr>
              <w:rFonts w:asciiTheme="minorHAnsi" w:hAnsiTheme="minorHAnsi"/>
              <w:sz w:val="16"/>
              <w:szCs w:val="16"/>
            </w:rPr>
            <w:t>Kar1-2231</w:t>
          </w:r>
          <w:bookmarkEnd w:id="6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414A6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fastställare_sf"/>
          <w:r>
            <w:rPr>
              <w:rFonts w:asciiTheme="minorHAnsi" w:hAnsiTheme="minorHAnsi"/>
              <w:sz w:val="16"/>
              <w:szCs w:val="16"/>
            </w:rPr>
            <w:t>Nina Perrin/Karolinska/SLL</w:t>
          </w:r>
          <w:bookmarkEnd w:id="7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414A6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version_sf"/>
          <w:r>
            <w:rPr>
              <w:rFonts w:asciiTheme="minorHAnsi" w:hAnsiTheme="minorHAnsi"/>
              <w:sz w:val="16"/>
              <w:szCs w:val="16"/>
            </w:rPr>
            <w:t>6</w:t>
          </w:r>
          <w:bookmarkEnd w:id="8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organisation_sf"/>
          <w:bookmarkEnd w:id="9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414A64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giltigdatum_sf"/>
          <w:r>
            <w:rPr>
              <w:rFonts w:asciiTheme="minorHAnsi" w:hAnsiTheme="minorHAnsi"/>
              <w:sz w:val="16"/>
              <w:szCs w:val="16"/>
            </w:rPr>
            <w:t>2017-08-30</w:t>
          </w:r>
          <w:bookmarkEnd w:id="10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BC27F7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414A64">
            <w:rPr>
              <w:rFonts w:asciiTheme="minorHAnsi" w:hAnsiTheme="minorHAnsi"/>
              <w:noProof/>
              <w:sz w:val="16"/>
              <w:szCs w:val="16"/>
            </w:rPr>
            <w:t>2020-11-30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414A64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59264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414A6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4" w:name="handläggare"/>
          <w:r>
            <w:rPr>
              <w:rFonts w:asciiTheme="minorHAnsi" w:hAnsiTheme="minorHAnsi"/>
              <w:sz w:val="16"/>
              <w:szCs w:val="16"/>
            </w:rPr>
            <w:t>Jacek Winiarski/Karolinska/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SLL;Mikael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Sundin/Karolinska/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SLL;Emma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Fahlström/Karolinska/SLL</w:t>
          </w:r>
          <w:bookmarkEnd w:id="14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414A64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löpnummer"/>
          <w:r>
            <w:rPr>
              <w:rFonts w:asciiTheme="minorHAnsi" w:hAnsiTheme="minorHAnsi"/>
              <w:sz w:val="16"/>
              <w:szCs w:val="16"/>
            </w:rPr>
            <w:t>Kar1-2231</w:t>
          </w:r>
          <w:bookmarkEnd w:id="15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414A6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fastställare"/>
          <w:r>
            <w:rPr>
              <w:rFonts w:asciiTheme="minorHAnsi" w:hAnsiTheme="minorHAnsi"/>
              <w:sz w:val="16"/>
              <w:szCs w:val="16"/>
            </w:rPr>
            <w:t>Nina Perrin/Karolinska/SLL</w:t>
          </w:r>
          <w:bookmarkEnd w:id="16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414A64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version"/>
          <w:r>
            <w:rPr>
              <w:rFonts w:asciiTheme="minorHAnsi" w:hAnsiTheme="minorHAnsi"/>
              <w:sz w:val="16"/>
              <w:szCs w:val="16"/>
            </w:rPr>
            <w:t>6</w:t>
          </w:r>
          <w:bookmarkEnd w:id="17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Organisation"/>
          <w:bookmarkEnd w:id="18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414A6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giltigdatum"/>
          <w:r>
            <w:rPr>
              <w:rFonts w:asciiTheme="minorHAnsi" w:hAnsiTheme="minorHAnsi"/>
              <w:sz w:val="16"/>
              <w:szCs w:val="16"/>
            </w:rPr>
            <w:t>2017-08-30</w:t>
          </w:r>
          <w:bookmarkEnd w:id="19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BC27F7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414A64">
            <w:rPr>
              <w:rFonts w:asciiTheme="minorHAnsi" w:hAnsiTheme="minorHAnsi"/>
              <w:noProof/>
              <w:sz w:val="16"/>
              <w:szCs w:val="16"/>
            </w:rPr>
            <w:t>2020-11-30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414A64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8240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6D7" w:rsidRDefault="005E36D7" w:rsidP="00F47081">
      <w:r>
        <w:separator/>
      </w:r>
    </w:p>
  </w:footnote>
  <w:footnote w:type="continuationSeparator" w:id="0">
    <w:p w:rsidR="005E36D7" w:rsidRDefault="005E36D7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414A6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BC27F7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9A4654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414A64">
            <w:rPr>
              <w:rFonts w:asciiTheme="minorHAnsi" w:hAnsiTheme="minorHAnsi"/>
              <w:noProof/>
            </w:rPr>
            <w:fldChar w:fldCharType="begin"/>
          </w:r>
          <w:r w:rsidR="00414A64">
            <w:rPr>
              <w:rFonts w:asciiTheme="minorHAnsi" w:hAnsiTheme="minorHAnsi"/>
              <w:noProof/>
            </w:rPr>
            <w:instrText xml:space="preserve"> NUMPAGES  \* MERGEFORMAT </w:instrText>
          </w:r>
          <w:r w:rsidR="00414A64">
            <w:rPr>
              <w:rFonts w:asciiTheme="minorHAnsi" w:hAnsiTheme="minorHAnsi"/>
              <w:noProof/>
            </w:rPr>
            <w:fldChar w:fldCharType="separate"/>
          </w:r>
          <w:r w:rsidR="009A4654" w:rsidRPr="009A4654">
            <w:rPr>
              <w:rFonts w:asciiTheme="minorHAnsi" w:hAnsiTheme="minorHAnsi"/>
              <w:noProof/>
            </w:rPr>
            <w:t>3</w:t>
          </w:r>
          <w:r w:rsidR="00414A64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346" w:type="dxa"/>
        </w:tcPr>
        <w:p w:rsidR="001C5ECA" w:rsidRPr="00EC6562" w:rsidRDefault="00414A64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3" w:name="arkiverat_sf"/>
          <w:r>
            <w:rPr>
              <w:rFonts w:asciiTheme="minorHAnsi" w:hAnsiTheme="minorHAnsi"/>
              <w:sz w:val="20"/>
              <w:szCs w:val="20"/>
            </w:rPr>
            <w:t>2018-08-31</w:t>
          </w:r>
          <w:bookmarkEnd w:id="3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414A64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1" w:name="Dokumenttyp"/>
          <w:r>
            <w:rPr>
              <w:rFonts w:asciiTheme="minorHAnsi" w:hAnsiTheme="minorHAnsi"/>
            </w:rPr>
            <w:t>Styrande lokalt dokument</w:t>
          </w:r>
          <w:bookmarkEnd w:id="11"/>
        </w:p>
      </w:tc>
      <w:tc>
        <w:tcPr>
          <w:tcW w:w="1346" w:type="dxa"/>
        </w:tcPr>
        <w:p w:rsidR="00363F7D" w:rsidRPr="00123992" w:rsidRDefault="00BC27F7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9A4654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414A64">
            <w:rPr>
              <w:rFonts w:asciiTheme="minorHAnsi" w:hAnsiTheme="minorHAnsi"/>
              <w:noProof/>
            </w:rPr>
            <w:fldChar w:fldCharType="begin"/>
          </w:r>
          <w:r w:rsidR="00414A64">
            <w:rPr>
              <w:rFonts w:asciiTheme="minorHAnsi" w:hAnsiTheme="minorHAnsi"/>
              <w:noProof/>
            </w:rPr>
            <w:instrText xml:space="preserve"> NUMPAGES  \* MERGEFORMAT </w:instrText>
          </w:r>
          <w:r w:rsidR="00414A64">
            <w:rPr>
              <w:rFonts w:asciiTheme="minorHAnsi" w:hAnsiTheme="minorHAnsi"/>
              <w:noProof/>
            </w:rPr>
            <w:fldChar w:fldCharType="separate"/>
          </w:r>
          <w:r w:rsidR="009A4654" w:rsidRPr="009A4654">
            <w:rPr>
              <w:rFonts w:asciiTheme="minorHAnsi" w:hAnsiTheme="minorHAnsi"/>
              <w:noProof/>
            </w:rPr>
            <w:t>3</w:t>
          </w:r>
          <w:r w:rsidR="00414A64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3A566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bookmarkStart w:id="12" w:name="giltigdatum_ny"/>
          <w:bookmarkEnd w:id="12"/>
        </w:p>
      </w:tc>
      <w:tc>
        <w:tcPr>
          <w:tcW w:w="1346" w:type="dxa"/>
        </w:tcPr>
        <w:p w:rsidR="003A5662" w:rsidRPr="00EC6562" w:rsidRDefault="00414A64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3" w:name="arkiverat"/>
          <w:r>
            <w:rPr>
              <w:rFonts w:asciiTheme="minorHAnsi" w:hAnsiTheme="minorHAnsi"/>
              <w:sz w:val="20"/>
              <w:szCs w:val="20"/>
            </w:rPr>
            <w:t>2018-08-31</w:t>
          </w:r>
          <w:bookmarkEnd w:id="13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10716"/>
    <w:multiLevelType w:val="hybridMultilevel"/>
    <w:tmpl w:val="03D0BC04"/>
    <w:lvl w:ilvl="0" w:tplc="041D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6063"/>
    <w:rsid w:val="00047E0F"/>
    <w:rsid w:val="00051851"/>
    <w:rsid w:val="00072F71"/>
    <w:rsid w:val="00080A88"/>
    <w:rsid w:val="00090B26"/>
    <w:rsid w:val="00097170"/>
    <w:rsid w:val="000A6A10"/>
    <w:rsid w:val="000B17EC"/>
    <w:rsid w:val="000B4D3D"/>
    <w:rsid w:val="000C04C7"/>
    <w:rsid w:val="000D4E47"/>
    <w:rsid w:val="000E3AC9"/>
    <w:rsid w:val="000F1521"/>
    <w:rsid w:val="000F3530"/>
    <w:rsid w:val="000F4D65"/>
    <w:rsid w:val="00100FDC"/>
    <w:rsid w:val="00101E13"/>
    <w:rsid w:val="001101F1"/>
    <w:rsid w:val="00123992"/>
    <w:rsid w:val="001439DF"/>
    <w:rsid w:val="001504AB"/>
    <w:rsid w:val="001516CD"/>
    <w:rsid w:val="00167279"/>
    <w:rsid w:val="00191D8A"/>
    <w:rsid w:val="0019376C"/>
    <w:rsid w:val="00196A29"/>
    <w:rsid w:val="001A1351"/>
    <w:rsid w:val="001C1BBD"/>
    <w:rsid w:val="001C3913"/>
    <w:rsid w:val="001C5ECA"/>
    <w:rsid w:val="001C71C5"/>
    <w:rsid w:val="001D0E4E"/>
    <w:rsid w:val="001E2505"/>
    <w:rsid w:val="001E6A21"/>
    <w:rsid w:val="001F232D"/>
    <w:rsid w:val="001F2B1C"/>
    <w:rsid w:val="001F5DC4"/>
    <w:rsid w:val="00233A25"/>
    <w:rsid w:val="00235B0D"/>
    <w:rsid w:val="00243000"/>
    <w:rsid w:val="002769F1"/>
    <w:rsid w:val="002C1CF4"/>
    <w:rsid w:val="002C4C2A"/>
    <w:rsid w:val="002C4EDA"/>
    <w:rsid w:val="002C574A"/>
    <w:rsid w:val="002C57F8"/>
    <w:rsid w:val="002D6C1B"/>
    <w:rsid w:val="002F6D2D"/>
    <w:rsid w:val="003110B0"/>
    <w:rsid w:val="00323C05"/>
    <w:rsid w:val="0033668A"/>
    <w:rsid w:val="003408E6"/>
    <w:rsid w:val="003539AA"/>
    <w:rsid w:val="00356E00"/>
    <w:rsid w:val="00363F7D"/>
    <w:rsid w:val="00376CF2"/>
    <w:rsid w:val="003A423D"/>
    <w:rsid w:val="003A5662"/>
    <w:rsid w:val="003B131D"/>
    <w:rsid w:val="003C230B"/>
    <w:rsid w:val="003C7DDC"/>
    <w:rsid w:val="003D3D1C"/>
    <w:rsid w:val="003F5240"/>
    <w:rsid w:val="003F7062"/>
    <w:rsid w:val="00402C2E"/>
    <w:rsid w:val="004042DC"/>
    <w:rsid w:val="004056C6"/>
    <w:rsid w:val="00405774"/>
    <w:rsid w:val="00405E69"/>
    <w:rsid w:val="00407F90"/>
    <w:rsid w:val="004111D2"/>
    <w:rsid w:val="00414A64"/>
    <w:rsid w:val="00430B5F"/>
    <w:rsid w:val="00437DBB"/>
    <w:rsid w:val="00447EBD"/>
    <w:rsid w:val="00463852"/>
    <w:rsid w:val="00463CE9"/>
    <w:rsid w:val="004644A8"/>
    <w:rsid w:val="00473759"/>
    <w:rsid w:val="00474607"/>
    <w:rsid w:val="004C5F7B"/>
    <w:rsid w:val="004D6811"/>
    <w:rsid w:val="004E0843"/>
    <w:rsid w:val="00502B3C"/>
    <w:rsid w:val="00505E91"/>
    <w:rsid w:val="00522CC6"/>
    <w:rsid w:val="00523EAD"/>
    <w:rsid w:val="005253BF"/>
    <w:rsid w:val="005253EF"/>
    <w:rsid w:val="005262F7"/>
    <w:rsid w:val="00533490"/>
    <w:rsid w:val="00536E3C"/>
    <w:rsid w:val="00541570"/>
    <w:rsid w:val="00541FCA"/>
    <w:rsid w:val="00543742"/>
    <w:rsid w:val="005647A8"/>
    <w:rsid w:val="00576479"/>
    <w:rsid w:val="00581D31"/>
    <w:rsid w:val="00594B6A"/>
    <w:rsid w:val="005A75E6"/>
    <w:rsid w:val="005B04BF"/>
    <w:rsid w:val="005C1E82"/>
    <w:rsid w:val="005C2A6A"/>
    <w:rsid w:val="005C50FF"/>
    <w:rsid w:val="005C7CF9"/>
    <w:rsid w:val="005E36D7"/>
    <w:rsid w:val="00602275"/>
    <w:rsid w:val="00605C27"/>
    <w:rsid w:val="006138C1"/>
    <w:rsid w:val="00624F6F"/>
    <w:rsid w:val="00632CCD"/>
    <w:rsid w:val="006330C0"/>
    <w:rsid w:val="00663476"/>
    <w:rsid w:val="0066413E"/>
    <w:rsid w:val="00664ED1"/>
    <w:rsid w:val="006658CE"/>
    <w:rsid w:val="00666B34"/>
    <w:rsid w:val="0067257A"/>
    <w:rsid w:val="00677161"/>
    <w:rsid w:val="0068125E"/>
    <w:rsid w:val="006A552A"/>
    <w:rsid w:val="006D2669"/>
    <w:rsid w:val="006D3EEA"/>
    <w:rsid w:val="006E318F"/>
    <w:rsid w:val="006E5CD4"/>
    <w:rsid w:val="00720662"/>
    <w:rsid w:val="00730505"/>
    <w:rsid w:val="007310E3"/>
    <w:rsid w:val="0073674B"/>
    <w:rsid w:val="00756427"/>
    <w:rsid w:val="00762575"/>
    <w:rsid w:val="0076688B"/>
    <w:rsid w:val="007728E5"/>
    <w:rsid w:val="00773423"/>
    <w:rsid w:val="007825F9"/>
    <w:rsid w:val="00784D4F"/>
    <w:rsid w:val="00792109"/>
    <w:rsid w:val="007A7CD8"/>
    <w:rsid w:val="007C46E0"/>
    <w:rsid w:val="007C481A"/>
    <w:rsid w:val="007D561A"/>
    <w:rsid w:val="008170B4"/>
    <w:rsid w:val="00820E06"/>
    <w:rsid w:val="0083084E"/>
    <w:rsid w:val="008342A0"/>
    <w:rsid w:val="0084434C"/>
    <w:rsid w:val="008765DF"/>
    <w:rsid w:val="00877AF7"/>
    <w:rsid w:val="00887EA3"/>
    <w:rsid w:val="008903AB"/>
    <w:rsid w:val="00893D63"/>
    <w:rsid w:val="008956CE"/>
    <w:rsid w:val="008A147E"/>
    <w:rsid w:val="008A6A48"/>
    <w:rsid w:val="008A797F"/>
    <w:rsid w:val="008B6CB0"/>
    <w:rsid w:val="008C2B03"/>
    <w:rsid w:val="008D143D"/>
    <w:rsid w:val="008E03CB"/>
    <w:rsid w:val="008F25CC"/>
    <w:rsid w:val="008F5F42"/>
    <w:rsid w:val="008F6310"/>
    <w:rsid w:val="00916924"/>
    <w:rsid w:val="00926A38"/>
    <w:rsid w:val="00946C7B"/>
    <w:rsid w:val="00947A73"/>
    <w:rsid w:val="00964350"/>
    <w:rsid w:val="0097166F"/>
    <w:rsid w:val="009954D8"/>
    <w:rsid w:val="0099596B"/>
    <w:rsid w:val="009965F5"/>
    <w:rsid w:val="009A0B7E"/>
    <w:rsid w:val="009A4654"/>
    <w:rsid w:val="009C2F30"/>
    <w:rsid w:val="009D2946"/>
    <w:rsid w:val="009D51B5"/>
    <w:rsid w:val="009E34D9"/>
    <w:rsid w:val="009E6815"/>
    <w:rsid w:val="009F03FB"/>
    <w:rsid w:val="00A1365F"/>
    <w:rsid w:val="00A31276"/>
    <w:rsid w:val="00A32CFE"/>
    <w:rsid w:val="00A50CC6"/>
    <w:rsid w:val="00A61EB5"/>
    <w:rsid w:val="00A67932"/>
    <w:rsid w:val="00A73FE6"/>
    <w:rsid w:val="00A7662B"/>
    <w:rsid w:val="00A7734E"/>
    <w:rsid w:val="00A808AE"/>
    <w:rsid w:val="00A80F9E"/>
    <w:rsid w:val="00A83DA6"/>
    <w:rsid w:val="00AA71F8"/>
    <w:rsid w:val="00AC5F95"/>
    <w:rsid w:val="00AD7B2E"/>
    <w:rsid w:val="00AE2C8C"/>
    <w:rsid w:val="00AF69EE"/>
    <w:rsid w:val="00B00F3E"/>
    <w:rsid w:val="00B2112E"/>
    <w:rsid w:val="00B22B7D"/>
    <w:rsid w:val="00B237A2"/>
    <w:rsid w:val="00B24C48"/>
    <w:rsid w:val="00B4311E"/>
    <w:rsid w:val="00B46D94"/>
    <w:rsid w:val="00B5688E"/>
    <w:rsid w:val="00B7532A"/>
    <w:rsid w:val="00B81FC6"/>
    <w:rsid w:val="00B85E7F"/>
    <w:rsid w:val="00BA3DB1"/>
    <w:rsid w:val="00BB2D58"/>
    <w:rsid w:val="00BB74B1"/>
    <w:rsid w:val="00BC27F7"/>
    <w:rsid w:val="00BC2905"/>
    <w:rsid w:val="00BD7647"/>
    <w:rsid w:val="00BF186B"/>
    <w:rsid w:val="00C11263"/>
    <w:rsid w:val="00C11EF7"/>
    <w:rsid w:val="00C215F0"/>
    <w:rsid w:val="00C27304"/>
    <w:rsid w:val="00C42CB4"/>
    <w:rsid w:val="00C579D4"/>
    <w:rsid w:val="00C712F5"/>
    <w:rsid w:val="00C90CCA"/>
    <w:rsid w:val="00CA1C4A"/>
    <w:rsid w:val="00CA6F8A"/>
    <w:rsid w:val="00CB116E"/>
    <w:rsid w:val="00CB341B"/>
    <w:rsid w:val="00CC3836"/>
    <w:rsid w:val="00CC4FA1"/>
    <w:rsid w:val="00CC73B9"/>
    <w:rsid w:val="00CD53DF"/>
    <w:rsid w:val="00CF4644"/>
    <w:rsid w:val="00D204EB"/>
    <w:rsid w:val="00D21D17"/>
    <w:rsid w:val="00D24FFA"/>
    <w:rsid w:val="00D270A5"/>
    <w:rsid w:val="00D3561B"/>
    <w:rsid w:val="00D44F7B"/>
    <w:rsid w:val="00D50DA7"/>
    <w:rsid w:val="00D56B21"/>
    <w:rsid w:val="00D60013"/>
    <w:rsid w:val="00D67F3A"/>
    <w:rsid w:val="00D7790F"/>
    <w:rsid w:val="00DA4158"/>
    <w:rsid w:val="00DC4A3A"/>
    <w:rsid w:val="00DF26E3"/>
    <w:rsid w:val="00DF3558"/>
    <w:rsid w:val="00DF3638"/>
    <w:rsid w:val="00DF6C78"/>
    <w:rsid w:val="00E169EE"/>
    <w:rsid w:val="00E21228"/>
    <w:rsid w:val="00E63120"/>
    <w:rsid w:val="00E64F96"/>
    <w:rsid w:val="00E7592E"/>
    <w:rsid w:val="00E82565"/>
    <w:rsid w:val="00E94A0B"/>
    <w:rsid w:val="00EA6533"/>
    <w:rsid w:val="00EB626B"/>
    <w:rsid w:val="00EC191C"/>
    <w:rsid w:val="00EC6562"/>
    <w:rsid w:val="00EC6E22"/>
    <w:rsid w:val="00ED3A5F"/>
    <w:rsid w:val="00ED41EB"/>
    <w:rsid w:val="00EE5B69"/>
    <w:rsid w:val="00EE6DF8"/>
    <w:rsid w:val="00EF02AA"/>
    <w:rsid w:val="00EF1430"/>
    <w:rsid w:val="00EF6425"/>
    <w:rsid w:val="00F0551D"/>
    <w:rsid w:val="00F055D4"/>
    <w:rsid w:val="00F11FD1"/>
    <w:rsid w:val="00F62AA2"/>
    <w:rsid w:val="00F66D4D"/>
    <w:rsid w:val="00F93951"/>
    <w:rsid w:val="00FB4BA2"/>
    <w:rsid w:val="00FB7D90"/>
    <w:rsid w:val="00FE277A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E43F2218-DACC-4510-AE59-5194E1A1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B7E52-233A-491D-8AB2-F81201A6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EF5F9425.dotm</Template>
  <TotalTime>28</TotalTime>
  <Pages>3</Pages>
  <Words>699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Dharcica Sinniah</cp:lastModifiedBy>
  <cp:revision>37</cp:revision>
  <cp:lastPrinted>2005-03-23T12:04:00Z</cp:lastPrinted>
  <dcterms:created xsi:type="dcterms:W3CDTF">2011-06-17T11:27:00Z</dcterms:created>
  <dcterms:modified xsi:type="dcterms:W3CDTF">2020-11-30T07:55:00Z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264992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