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Rubrik"/>
    <w:p w:rsidR="008C2B03" w:rsidRPr="00660B14" w:rsidRDefault="001B662F">
      <w:pPr>
        <w:pStyle w:val="Rubrik1"/>
        <w:rPr>
          <w:lang w:val="en-US"/>
        </w:rPr>
      </w:pPr>
      <w:r>
        <w:rPr>
          <w:lang w:val="en-US"/>
        </w:rPr>
        <w:fldChar w:fldCharType="begin">
          <w:ffData>
            <w:name w:val="Rubrik"/>
            <w:enabled/>
            <w:calcOnExit w:val="0"/>
            <w:textInput>
              <w:default w:val="Akut appendicit - BARN"/>
            </w:textInput>
          </w:ffData>
        </w:fldChar>
      </w:r>
      <w:r w:rsidR="00BA3DB1" w:rsidRPr="00BA3DB1">
        <w:instrText xml:space="preserve"> FORMTEXT </w:instrText>
      </w:r>
      <w:r w:rsidR="00907854">
        <w:rPr>
          <w:lang w:val="en-US"/>
        </w:rPr>
      </w:r>
      <w:r>
        <w:rPr>
          <w:lang w:val="en-US"/>
        </w:rPr>
        <w:fldChar w:fldCharType="separate"/>
      </w:r>
      <w:r w:rsidR="00907854">
        <w:rPr>
          <w:lang w:val="en-US"/>
        </w:rPr>
        <w:t>Akut appendicit - BARN</w:t>
      </w:r>
      <w:r>
        <w:rPr>
          <w:lang w:val="en-US"/>
        </w:rPr>
        <w:fldChar w:fldCharType="end"/>
      </w:r>
      <w:bookmarkEnd w:id="0"/>
      <w:r w:rsidR="005253BF" w:rsidRPr="00660B14">
        <w:rPr>
          <w:lang w:val="en-US"/>
        </w:rPr>
        <w:t xml:space="preserve"> </w:t>
      </w:r>
    </w:p>
    <w:p w:rsidR="003F7062" w:rsidRPr="00660B14" w:rsidRDefault="003F7062" w:rsidP="003F7062">
      <w:pPr>
        <w:rPr>
          <w:lang w:val="en-US"/>
        </w:rPr>
      </w:pPr>
    </w:p>
    <w:p w:rsidR="006330C0" w:rsidRPr="00660B14" w:rsidRDefault="006330C0">
      <w:pPr>
        <w:rPr>
          <w:lang w:val="en-US"/>
        </w:rPr>
      </w:pPr>
    </w:p>
    <w:tbl>
      <w:tblPr>
        <w:tblpPr w:leftFromText="181" w:rightFromText="181" w:vertAnchor="page" w:horzAnchor="page" w:tblpX="726" w:tblpY="726"/>
        <w:tblW w:w="10440" w:type="dxa"/>
        <w:tblLayout w:type="fixed"/>
        <w:tblCellMar>
          <w:left w:w="0" w:type="dxa"/>
          <w:right w:w="0" w:type="dxa"/>
        </w:tblCellMar>
        <w:tblLook w:val="04A0" w:firstRow="1" w:lastRow="0" w:firstColumn="1" w:lastColumn="0" w:noHBand="0" w:noVBand="1"/>
      </w:tblPr>
      <w:tblGrid>
        <w:gridCol w:w="2880"/>
        <w:gridCol w:w="3240"/>
        <w:gridCol w:w="1980"/>
        <w:gridCol w:w="2340"/>
      </w:tblGrid>
      <w:tr w:rsidR="00660B14" w:rsidTr="00660B14">
        <w:trPr>
          <w:trHeight w:val="540"/>
        </w:trPr>
        <w:tc>
          <w:tcPr>
            <w:tcW w:w="2880" w:type="dxa"/>
            <w:vMerge w:val="restart"/>
            <w:vAlign w:val="bottom"/>
          </w:tcPr>
          <w:p w:rsidR="00660B14" w:rsidRDefault="00660B14" w:rsidP="00660B14">
            <w:pPr>
              <w:pStyle w:val="Brevhuvud"/>
              <w:framePr w:hSpace="0" w:wrap="auto" w:vAnchor="margin" w:hAnchor="text" w:xAlign="left" w:yAlign="inline"/>
              <w:ind w:left="0"/>
            </w:pPr>
          </w:p>
        </w:tc>
        <w:tc>
          <w:tcPr>
            <w:tcW w:w="5220" w:type="dxa"/>
            <w:gridSpan w:val="2"/>
            <w:tcMar>
              <w:top w:w="0" w:type="dxa"/>
              <w:left w:w="567" w:type="dxa"/>
              <w:bottom w:w="0" w:type="dxa"/>
              <w:right w:w="0" w:type="dxa"/>
            </w:tcMar>
            <w:vAlign w:val="bottom"/>
          </w:tcPr>
          <w:p w:rsidR="00660B14" w:rsidRDefault="00660B14">
            <w:pPr>
              <w:pStyle w:val="Brevhuvud"/>
              <w:framePr w:hSpace="0" w:wrap="auto" w:vAnchor="margin" w:hAnchor="text" w:xAlign="left" w:yAlign="inline"/>
              <w:ind w:left="0" w:hanging="215"/>
              <w:rPr>
                <w:sz w:val="20"/>
                <w:szCs w:val="20"/>
              </w:rPr>
            </w:pPr>
          </w:p>
        </w:tc>
        <w:tc>
          <w:tcPr>
            <w:tcW w:w="2340" w:type="dxa"/>
          </w:tcPr>
          <w:p w:rsidR="00660B14" w:rsidRDefault="00660B14">
            <w:pPr>
              <w:pStyle w:val="Rubrik1"/>
              <w:rPr>
                <w:sz w:val="20"/>
                <w:szCs w:val="20"/>
              </w:rPr>
            </w:pPr>
          </w:p>
        </w:tc>
      </w:tr>
      <w:tr w:rsidR="00660B14" w:rsidTr="00660B14">
        <w:trPr>
          <w:trHeight w:val="399"/>
        </w:trPr>
        <w:tc>
          <w:tcPr>
            <w:tcW w:w="2880" w:type="dxa"/>
            <w:vMerge/>
            <w:vAlign w:val="center"/>
            <w:hideMark/>
          </w:tcPr>
          <w:p w:rsidR="00660B14" w:rsidRDefault="00660B14">
            <w:pPr>
              <w:widowControl/>
              <w:rPr>
                <w:noProof/>
              </w:rPr>
            </w:pPr>
          </w:p>
        </w:tc>
        <w:tc>
          <w:tcPr>
            <w:tcW w:w="3240" w:type="dxa"/>
            <w:tcMar>
              <w:top w:w="0" w:type="dxa"/>
              <w:left w:w="567" w:type="dxa"/>
              <w:bottom w:w="0" w:type="dxa"/>
              <w:right w:w="0" w:type="dxa"/>
            </w:tcMar>
            <w:vAlign w:val="bottom"/>
          </w:tcPr>
          <w:p w:rsidR="00660B14" w:rsidRDefault="00660B14">
            <w:pPr>
              <w:pStyle w:val="Brevhuvud"/>
              <w:framePr w:hSpace="0" w:wrap="auto" w:vAnchor="margin" w:hAnchor="text" w:xAlign="left" w:yAlign="inline"/>
              <w:ind w:left="0"/>
              <w:rPr>
                <w:sz w:val="20"/>
                <w:szCs w:val="20"/>
              </w:rPr>
            </w:pPr>
          </w:p>
        </w:tc>
        <w:tc>
          <w:tcPr>
            <w:tcW w:w="1980" w:type="dxa"/>
          </w:tcPr>
          <w:p w:rsidR="00660B14" w:rsidRDefault="00660B14">
            <w:pPr>
              <w:rPr>
                <w:sz w:val="20"/>
                <w:szCs w:val="20"/>
              </w:rPr>
            </w:pPr>
          </w:p>
        </w:tc>
        <w:tc>
          <w:tcPr>
            <w:tcW w:w="2340" w:type="dxa"/>
            <w:tcMar>
              <w:top w:w="0" w:type="dxa"/>
              <w:left w:w="567" w:type="dxa"/>
              <w:bottom w:w="0" w:type="dxa"/>
              <w:right w:w="0" w:type="dxa"/>
            </w:tcMar>
          </w:tcPr>
          <w:p w:rsidR="00660B14" w:rsidRDefault="00660B14">
            <w:pPr>
              <w:rPr>
                <w:sz w:val="20"/>
                <w:szCs w:val="20"/>
              </w:rPr>
            </w:pPr>
          </w:p>
        </w:tc>
      </w:tr>
      <w:tr w:rsidR="00660B14" w:rsidTr="00660B14">
        <w:trPr>
          <w:trHeight w:val="777"/>
        </w:trPr>
        <w:tc>
          <w:tcPr>
            <w:tcW w:w="2880" w:type="dxa"/>
            <w:vMerge/>
            <w:vAlign w:val="center"/>
            <w:hideMark/>
          </w:tcPr>
          <w:p w:rsidR="00660B14" w:rsidRDefault="00660B14">
            <w:pPr>
              <w:widowControl/>
              <w:rPr>
                <w:noProof/>
              </w:rPr>
            </w:pPr>
          </w:p>
        </w:tc>
        <w:tc>
          <w:tcPr>
            <w:tcW w:w="5220" w:type="dxa"/>
            <w:gridSpan w:val="2"/>
            <w:tcMar>
              <w:top w:w="0" w:type="dxa"/>
              <w:left w:w="567" w:type="dxa"/>
              <w:bottom w:w="0" w:type="dxa"/>
              <w:right w:w="0" w:type="dxa"/>
            </w:tcMar>
          </w:tcPr>
          <w:p w:rsidR="00660B14" w:rsidRDefault="00660B14">
            <w:pPr>
              <w:pStyle w:val="Brevhuvud"/>
              <w:framePr w:hSpace="0" w:wrap="auto" w:vAnchor="margin" w:hAnchor="text" w:xAlign="left" w:yAlign="inline"/>
              <w:ind w:left="0"/>
              <w:rPr>
                <w:sz w:val="20"/>
                <w:szCs w:val="20"/>
              </w:rPr>
            </w:pPr>
          </w:p>
        </w:tc>
        <w:tc>
          <w:tcPr>
            <w:tcW w:w="2340" w:type="dxa"/>
          </w:tcPr>
          <w:p w:rsidR="00660B14" w:rsidRDefault="00660B14">
            <w:pPr>
              <w:tabs>
                <w:tab w:val="left" w:pos="1080"/>
              </w:tabs>
              <w:rPr>
                <w:sz w:val="20"/>
                <w:szCs w:val="20"/>
              </w:rPr>
            </w:pPr>
          </w:p>
        </w:tc>
      </w:tr>
    </w:tbl>
    <w:p w:rsidR="00623CA8" w:rsidRDefault="00623CA8" w:rsidP="00623CA8">
      <w:pPr>
        <w:keepNext/>
        <w:spacing w:before="100"/>
        <w:rPr>
          <w:b/>
          <w:sz w:val="28"/>
          <w:szCs w:val="28"/>
        </w:rPr>
      </w:pPr>
      <w:r>
        <w:rPr>
          <w:b/>
          <w:sz w:val="28"/>
          <w:szCs w:val="28"/>
        </w:rPr>
        <w:t>Inledning</w:t>
      </w:r>
    </w:p>
    <w:p w:rsidR="00623CA8" w:rsidRDefault="00623CA8" w:rsidP="00623CA8">
      <w:pPr>
        <w:spacing w:before="100"/>
      </w:pPr>
      <w:r>
        <w:t>Appendicit är den vanligaste operationskrävande akuta sjukdomen hos barn i Sverige och vi opererar årligen knappt 350 barn för akut appendicit vid Astrid Lindgrens barnsjukhus. Incidensen beräknas till 1/1000 invånare och år och den kumulativa livstidsrisken för appendicit är cirka7 %</w:t>
      </w:r>
      <w:r>
        <w:rPr>
          <w:vertAlign w:val="superscript"/>
        </w:rPr>
        <w:t xml:space="preserve"> 2</w:t>
      </w:r>
      <w:r>
        <w:t>.</w:t>
      </w:r>
    </w:p>
    <w:p w:rsidR="00623CA8" w:rsidRDefault="00623CA8" w:rsidP="00623CA8">
      <w:pPr>
        <w:spacing w:before="100"/>
      </w:pPr>
      <w:r>
        <w:t>Riktlinjerna för behandling av akut appendicit baseras på befintlig vetenskaplig litteratur, det regionala vårdprogram för appendicit som presenterade i SLL 2006</w:t>
      </w:r>
      <w:r>
        <w:rPr>
          <w:vertAlign w:val="superscript"/>
        </w:rPr>
        <w:t>1</w:t>
      </w:r>
      <w:r>
        <w:t>, samt på data från barnkirurgiska klinikens kvalitetsregister för diagnosen.</w:t>
      </w:r>
    </w:p>
    <w:p w:rsidR="00623CA8" w:rsidRDefault="00623CA8" w:rsidP="00623CA8">
      <w:pPr>
        <w:spacing w:before="100"/>
        <w:rPr>
          <w:b/>
          <w:sz w:val="28"/>
          <w:szCs w:val="28"/>
        </w:rPr>
      </w:pPr>
    </w:p>
    <w:p w:rsidR="00623CA8" w:rsidRDefault="00623CA8" w:rsidP="00623CA8">
      <w:pPr>
        <w:spacing w:before="100"/>
        <w:rPr>
          <w:b/>
          <w:sz w:val="28"/>
          <w:szCs w:val="28"/>
        </w:rPr>
      </w:pPr>
      <w:r>
        <w:rPr>
          <w:b/>
          <w:sz w:val="28"/>
          <w:szCs w:val="28"/>
        </w:rPr>
        <w:t>Klinik</w:t>
      </w:r>
    </w:p>
    <w:p w:rsidR="00623CA8" w:rsidRDefault="00623CA8" w:rsidP="00623CA8">
      <w:pPr>
        <w:spacing w:before="100"/>
      </w:pPr>
      <w:r>
        <w:t>Appendicit är en ovanlig sjukdom hos barn under fem års ålder. Hos dessa barn har sjukdomen normalt ett hastigt förlopp och flertalet har perforerad appendix eller appendicitabscess vid diagnos.</w:t>
      </w:r>
    </w:p>
    <w:p w:rsidR="00623CA8" w:rsidRDefault="00623CA8" w:rsidP="00623CA8">
      <w:pPr>
        <w:spacing w:before="100"/>
        <w:rPr>
          <w:b/>
        </w:rPr>
      </w:pPr>
      <w:r>
        <w:rPr>
          <w:b/>
        </w:rPr>
        <w:t>Anamnes</w:t>
      </w:r>
    </w:p>
    <w:p w:rsidR="00623CA8" w:rsidRDefault="00623CA8" w:rsidP="00623CA8">
      <w:pPr>
        <w:spacing w:before="100"/>
      </w:pPr>
      <w:r>
        <w:t>De initiala symtomen inkluderar illamående, matleda, diffusa rörelsekorrelerade buksmärtor med smärtvandring mot höger fossa, stigande feber och kräkning. Diarré, flanksmärta och miktionssmärta kan också förekomma. När sjukdomen progredierar tillkommer hög feber, tecken på dehydrering och påverkat allmäntillstånd.</w:t>
      </w:r>
    </w:p>
    <w:p w:rsidR="00623CA8" w:rsidRDefault="00623CA8" w:rsidP="00623CA8">
      <w:pPr>
        <w:spacing w:before="100"/>
        <w:rPr>
          <w:b/>
        </w:rPr>
      </w:pPr>
      <w:r>
        <w:rPr>
          <w:b/>
        </w:rPr>
        <w:t>Status</w:t>
      </w:r>
    </w:p>
    <w:p w:rsidR="00623CA8" w:rsidRDefault="00623CA8" w:rsidP="00623CA8">
      <w:pPr>
        <w:spacing w:before="100"/>
      </w:pPr>
      <w:r>
        <w:t xml:space="preserve">Ömhet i buken, efter hand allt tydligare smärtmaximum i höger fossa och indirekt släppömhet. Feber, tachycardi och tecken till dehydrering är sena tecken som normalt inte uppträder inom 12-24 timmar. Positivt psoastest, rectusmuskelbelastning eller ömhet PR kan indikera peritonelretning. Ömhet och/eller utfyllnad PR samt smärta vid vattenkastning kan indikera en Douglasabscess. </w:t>
      </w:r>
    </w:p>
    <w:p w:rsidR="00623CA8" w:rsidRDefault="00623CA8" w:rsidP="00623CA8">
      <w:pPr>
        <w:spacing w:before="100"/>
        <w:rPr>
          <w:b/>
          <w:sz w:val="28"/>
          <w:szCs w:val="28"/>
        </w:rPr>
      </w:pPr>
      <w:r>
        <w:rPr>
          <w:b/>
          <w:sz w:val="28"/>
          <w:szCs w:val="28"/>
        </w:rPr>
        <w:t>Utredning</w:t>
      </w:r>
    </w:p>
    <w:p w:rsidR="00623CA8" w:rsidRDefault="00623CA8" w:rsidP="00623CA8">
      <w:pPr>
        <w:spacing w:before="100"/>
        <w:rPr>
          <w:b/>
        </w:rPr>
      </w:pPr>
      <w:r>
        <w:rPr>
          <w:b/>
        </w:rPr>
        <w:t>Blodprover</w:t>
      </w:r>
    </w:p>
    <w:p w:rsidR="00623CA8" w:rsidRDefault="00623CA8" w:rsidP="00623CA8">
      <w:pPr>
        <w:spacing w:before="100"/>
      </w:pPr>
      <w:r>
        <w:t>Basutredning med CRP, LPK, diff och urinsticka. Om tecken till dehydrering finns tas även elektrolyter och/eller blodgas.</w:t>
      </w:r>
    </w:p>
    <w:p w:rsidR="00623CA8" w:rsidRDefault="00623CA8" w:rsidP="00623CA8">
      <w:pPr>
        <w:spacing w:before="100"/>
        <w:rPr>
          <w:b/>
        </w:rPr>
      </w:pPr>
      <w:r>
        <w:rPr>
          <w:b/>
        </w:rPr>
        <w:t>Röntgen</w:t>
      </w:r>
    </w:p>
    <w:p w:rsidR="00623CA8" w:rsidRDefault="00623CA8" w:rsidP="00623CA8">
      <w:pPr>
        <w:spacing w:before="100"/>
      </w:pPr>
      <w:r>
        <w:t>Ultraljud (Ul) är förstahandsmetod. Ul identifierar 80-86 % av sjuka appendices</w:t>
      </w:r>
      <w:r>
        <w:rPr>
          <w:vertAlign w:val="superscript"/>
        </w:rPr>
        <w:t>3</w:t>
      </w:r>
      <w:r>
        <w:t>. Om ultraljudet utfaller negativt och symptomen kvarstår bör datortomografi (DT) genomföras för säkrare diagnostik. Kombinationen Ul och DT identifierar 99 % av alla sjuka appendices</w:t>
      </w:r>
      <w:r>
        <w:rPr>
          <w:vertAlign w:val="superscript"/>
        </w:rPr>
        <w:t>3</w:t>
      </w:r>
      <w:r>
        <w:t>. Sensitiviteten för både Ul och DT sjunker efter det att appendix perforerat.</w:t>
      </w:r>
    </w:p>
    <w:p w:rsidR="00623CA8" w:rsidRDefault="00623CA8" w:rsidP="00623CA8">
      <w:pPr>
        <w:spacing w:before="100"/>
      </w:pPr>
      <w:r>
        <w:t>Ett negativt Ul utesluter inte appendicit och kan inte säkert diagnostisera t.ex. en körtelbuk.</w:t>
      </w:r>
    </w:p>
    <w:p w:rsidR="00623CA8" w:rsidRDefault="00623CA8" w:rsidP="00623CA8">
      <w:pPr>
        <w:spacing w:before="100"/>
        <w:rPr>
          <w:b/>
        </w:rPr>
      </w:pPr>
      <w:bookmarkStart w:id="1" w:name="_GoBack"/>
      <w:bookmarkEnd w:id="1"/>
      <w:r>
        <w:rPr>
          <w:b/>
        </w:rPr>
        <w:lastRenderedPageBreak/>
        <w:t>Övrigt</w:t>
      </w:r>
    </w:p>
    <w:p w:rsidR="00623CA8" w:rsidRDefault="00623CA8" w:rsidP="00623CA8">
      <w:pPr>
        <w:spacing w:before="100"/>
      </w:pPr>
      <w:r>
        <w:t xml:space="preserve">Om både Ul och DT utfaller negativt men det finns tecken till peritonit och/eller kraftig smärta bör explorativ laparoskopi övervägas. Hos flickor med låga buksmärtor finns ovarialtorsion och rupturerad ovarialcysta med bland differentialdiagnoserna. </w:t>
      </w:r>
    </w:p>
    <w:p w:rsidR="00623CA8" w:rsidRDefault="00623CA8" w:rsidP="00623CA8">
      <w:pPr>
        <w:spacing w:before="100"/>
      </w:pPr>
    </w:p>
    <w:p w:rsidR="00623CA8" w:rsidRDefault="00623CA8" w:rsidP="00623CA8">
      <w:pPr>
        <w:spacing w:before="100"/>
        <w:rPr>
          <w:b/>
          <w:sz w:val="28"/>
          <w:szCs w:val="28"/>
        </w:rPr>
      </w:pPr>
      <w:r>
        <w:rPr>
          <w:b/>
          <w:sz w:val="28"/>
          <w:szCs w:val="28"/>
        </w:rPr>
        <w:t>Behandling</w:t>
      </w:r>
    </w:p>
    <w:p w:rsidR="00623CA8" w:rsidRDefault="00623CA8" w:rsidP="00623CA8">
      <w:pPr>
        <w:spacing w:before="100"/>
      </w:pPr>
      <w:r>
        <w:t>Behandlingen av akut appendicit är operativ. Det finns för närvarande inget vetenskapligt stöd att behandla akut appendicit med enbart antibiotika. Om en appendicitabscess diagnostiseras skall denna behandlas konservativt med antibiotika och vid behov ultraljudslett dränage.</w:t>
      </w:r>
    </w:p>
    <w:p w:rsidR="00623CA8" w:rsidRDefault="00623CA8" w:rsidP="00623CA8">
      <w:pPr>
        <w:spacing w:before="100"/>
        <w:rPr>
          <w:b/>
        </w:rPr>
      </w:pPr>
      <w:r>
        <w:rPr>
          <w:b/>
        </w:rPr>
        <w:t>Preop</w:t>
      </w:r>
    </w:p>
    <w:p w:rsidR="00623CA8" w:rsidRDefault="00623CA8" w:rsidP="00623CA8">
      <w:pPr>
        <w:spacing w:before="100"/>
      </w:pPr>
      <w:r>
        <w:t>Fasta, vätskesubstitution, vid behov uppvätskning (5 % av kroppsvikten med Ringer-Acetat eller Rehydrex 2,5 % på 4 timmar, sedan ny bedömning) och vid pågående kräkningar v-sond.</w:t>
      </w:r>
    </w:p>
    <w:p w:rsidR="00623CA8" w:rsidRDefault="00623CA8" w:rsidP="00623CA8">
      <w:pPr>
        <w:spacing w:before="100"/>
      </w:pPr>
      <w:r>
        <w:t>Preoperativ antibiotikaprofylax ges enl tabell nedan</w:t>
      </w:r>
      <w:r>
        <w:rPr>
          <w:vertAlign w:val="superscript"/>
        </w:rPr>
        <w:t xml:space="preserve"> 11</w:t>
      </w:r>
      <w:r>
        <w:t xml:space="preserve">. Hos patienter med septiskt insjuknande/allmänpåverkan eller tecken på perforation med peritonit påbörjas antibiotikabehandlingen preoperativt. </w:t>
      </w:r>
    </w:p>
    <w:p w:rsidR="00623CA8" w:rsidRDefault="00623CA8" w:rsidP="00623CA8">
      <w:pPr>
        <w:spacing w:before="100"/>
        <w:rPr>
          <w:b/>
        </w:rPr>
      </w:pPr>
      <w:r>
        <w:rPr>
          <w:b/>
        </w:rPr>
        <w:t>Op</w:t>
      </w:r>
    </w:p>
    <w:p w:rsidR="00623CA8" w:rsidRDefault="00623CA8" w:rsidP="00623CA8">
      <w:pPr>
        <w:spacing w:before="100"/>
      </w:pPr>
      <w:r>
        <w:t>Laparoskopisk appendektomi är förstahandsmetod vid behandling av akut appendicit hos barn</w:t>
      </w:r>
      <w:r>
        <w:rPr>
          <w:vertAlign w:val="superscript"/>
        </w:rPr>
        <w:t>4, 5</w:t>
      </w:r>
      <w:r>
        <w:t>. För att minimera morbiditeten finns vetenskapligt stöd för att använda STEP-portar</w:t>
      </w:r>
      <w:r>
        <w:rPr>
          <w:vertAlign w:val="superscript"/>
        </w:rPr>
        <w:t>6-8</w:t>
      </w:r>
      <w:r>
        <w:t xml:space="preserve"> och för att avligera appendix med EndoGia</w:t>
      </w:r>
      <w:r>
        <w:rPr>
          <w:vertAlign w:val="superscript"/>
        </w:rPr>
        <w:t>9, 10</w:t>
      </w:r>
      <w:r>
        <w:t xml:space="preserve">. </w:t>
      </w:r>
    </w:p>
    <w:p w:rsidR="00623CA8" w:rsidRDefault="00623CA8" w:rsidP="00623CA8">
      <w:pPr>
        <w:spacing w:before="100"/>
      </w:pPr>
      <w:r>
        <w:t>Öppen appendektomi är andrahandsmetod. Vid öppen operation skall appendix stump avligeras utan invagination.</w:t>
      </w:r>
    </w:p>
    <w:p w:rsidR="00623CA8" w:rsidRDefault="00623CA8" w:rsidP="00623CA8">
      <w:pPr>
        <w:spacing w:before="100"/>
      </w:pPr>
      <w:r>
        <w:t>Appendix skall alltid sändas till PAD och odling skall alltid tas. Odlingen skall tas från appendix utsida vid maximalt infektionsfokus, EJ från stapelraden.</w:t>
      </w:r>
    </w:p>
    <w:p w:rsidR="00623CA8" w:rsidRDefault="00623CA8" w:rsidP="00623CA8">
      <w:pPr>
        <w:spacing w:before="100"/>
        <w:rPr>
          <w:b/>
        </w:rPr>
      </w:pPr>
      <w:r>
        <w:rPr>
          <w:b/>
        </w:rPr>
        <w:t>Postop</w:t>
      </w:r>
    </w:p>
    <w:p w:rsidR="00623CA8" w:rsidRDefault="00623CA8" w:rsidP="00623CA8">
      <w:pPr>
        <w:spacing w:before="100"/>
        <w:rPr>
          <w:b/>
        </w:rPr>
      </w:pPr>
      <w:r>
        <w:t>Patienten får dricka så snart hon önskar och äta när hon inte längre mår illa.</w:t>
      </w:r>
    </w:p>
    <w:p w:rsidR="00623CA8" w:rsidRDefault="00623CA8" w:rsidP="00623CA8">
      <w:pPr>
        <w:spacing w:before="100"/>
        <w:rPr>
          <w:b/>
        </w:rPr>
      </w:pPr>
      <w:r>
        <w:rPr>
          <w:b/>
        </w:rPr>
        <w:t>Antibiotika</w:t>
      </w:r>
    </w:p>
    <w:p w:rsidR="00623CA8" w:rsidRDefault="00623CA8" w:rsidP="00623CA8">
      <w:pPr>
        <w:spacing w:before="100"/>
      </w:pPr>
      <w:r>
        <w:t>Antibiotikabehandling styrs av graden av inflammation samt allmäntillståndet (iv-beh):</w:t>
      </w:r>
    </w:p>
    <w:p w:rsidR="00623CA8" w:rsidRDefault="00623CA8" w:rsidP="00623CA8">
      <w:pPr>
        <w:spacing w:before="10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2516"/>
        <w:gridCol w:w="4593"/>
      </w:tblGrid>
      <w:tr w:rsidR="00623CA8" w:rsidTr="00623CA8">
        <w:tc>
          <w:tcPr>
            <w:tcW w:w="2127" w:type="dxa"/>
            <w:tcBorders>
              <w:top w:val="single" w:sz="4" w:space="0" w:color="auto"/>
              <w:left w:val="single" w:sz="4" w:space="0" w:color="auto"/>
              <w:bottom w:val="single" w:sz="4" w:space="0" w:color="auto"/>
              <w:right w:val="single" w:sz="4" w:space="0" w:color="auto"/>
            </w:tcBorders>
            <w:hideMark/>
          </w:tcPr>
          <w:p w:rsidR="00623CA8" w:rsidRDefault="00623CA8">
            <w:pPr>
              <w:spacing w:before="100"/>
            </w:pPr>
            <w:r>
              <w:t>Flegmonös (/frisk)</w:t>
            </w:r>
          </w:p>
        </w:tc>
        <w:tc>
          <w:tcPr>
            <w:tcW w:w="2551" w:type="dxa"/>
            <w:tcBorders>
              <w:top w:val="single" w:sz="4" w:space="0" w:color="auto"/>
              <w:left w:val="single" w:sz="4" w:space="0" w:color="auto"/>
              <w:bottom w:val="single" w:sz="4" w:space="0" w:color="auto"/>
              <w:right w:val="single" w:sz="4" w:space="0" w:color="auto"/>
            </w:tcBorders>
            <w:hideMark/>
          </w:tcPr>
          <w:p w:rsidR="00623CA8" w:rsidRDefault="00623CA8">
            <w:pPr>
              <w:spacing w:before="100"/>
            </w:pPr>
            <w:r>
              <w:t>Flagyl 20mg/kg</w:t>
            </w:r>
          </w:p>
        </w:tc>
        <w:tc>
          <w:tcPr>
            <w:tcW w:w="4836" w:type="dxa"/>
            <w:tcBorders>
              <w:top w:val="single" w:sz="4" w:space="0" w:color="auto"/>
              <w:left w:val="single" w:sz="4" w:space="0" w:color="auto"/>
              <w:bottom w:val="single" w:sz="4" w:space="0" w:color="auto"/>
              <w:right w:val="single" w:sz="4" w:space="0" w:color="auto"/>
            </w:tcBorders>
            <w:hideMark/>
          </w:tcPr>
          <w:p w:rsidR="00623CA8" w:rsidRDefault="00623CA8">
            <w:pPr>
              <w:spacing w:before="100"/>
            </w:pPr>
            <w:r>
              <w:t>Endast perop profylax</w:t>
            </w:r>
          </w:p>
        </w:tc>
      </w:tr>
      <w:tr w:rsidR="00623CA8" w:rsidTr="00623CA8">
        <w:tc>
          <w:tcPr>
            <w:tcW w:w="2127" w:type="dxa"/>
            <w:tcBorders>
              <w:top w:val="single" w:sz="4" w:space="0" w:color="auto"/>
              <w:left w:val="single" w:sz="4" w:space="0" w:color="auto"/>
              <w:bottom w:val="single" w:sz="4" w:space="0" w:color="auto"/>
              <w:right w:val="single" w:sz="4" w:space="0" w:color="auto"/>
            </w:tcBorders>
            <w:hideMark/>
          </w:tcPr>
          <w:p w:rsidR="00623CA8" w:rsidRDefault="00623CA8">
            <w:pPr>
              <w:spacing w:before="100"/>
            </w:pPr>
            <w:r>
              <w:t>Gangränös</w:t>
            </w:r>
          </w:p>
        </w:tc>
        <w:tc>
          <w:tcPr>
            <w:tcW w:w="2551" w:type="dxa"/>
            <w:tcBorders>
              <w:top w:val="single" w:sz="4" w:space="0" w:color="auto"/>
              <w:left w:val="single" w:sz="4" w:space="0" w:color="auto"/>
              <w:bottom w:val="single" w:sz="4" w:space="0" w:color="auto"/>
              <w:right w:val="single" w:sz="4" w:space="0" w:color="auto"/>
            </w:tcBorders>
            <w:hideMark/>
          </w:tcPr>
          <w:p w:rsidR="00623CA8" w:rsidRDefault="00623CA8">
            <w:pPr>
              <w:spacing w:before="100"/>
            </w:pPr>
            <w:r>
              <w:t>Flagyl 20mg/kg x1</w:t>
            </w:r>
            <w:r>
              <w:br/>
              <w:t>Eusaprim enl Fass</w:t>
            </w:r>
          </w:p>
        </w:tc>
        <w:tc>
          <w:tcPr>
            <w:tcW w:w="4836" w:type="dxa"/>
            <w:tcBorders>
              <w:top w:val="single" w:sz="4" w:space="0" w:color="auto"/>
              <w:left w:val="single" w:sz="4" w:space="0" w:color="auto"/>
              <w:bottom w:val="single" w:sz="4" w:space="0" w:color="auto"/>
              <w:right w:val="single" w:sz="4" w:space="0" w:color="auto"/>
            </w:tcBorders>
            <w:hideMark/>
          </w:tcPr>
          <w:p w:rsidR="00623CA8" w:rsidRDefault="00623CA8">
            <w:pPr>
              <w:spacing w:before="100"/>
            </w:pPr>
            <w:r>
              <w:t>1 dygns behandling, ev ytterligare om kliniken indicerar</w:t>
            </w:r>
          </w:p>
        </w:tc>
      </w:tr>
      <w:tr w:rsidR="00623CA8" w:rsidTr="00623CA8">
        <w:tc>
          <w:tcPr>
            <w:tcW w:w="2127" w:type="dxa"/>
            <w:tcBorders>
              <w:top w:val="single" w:sz="4" w:space="0" w:color="auto"/>
              <w:left w:val="single" w:sz="4" w:space="0" w:color="auto"/>
              <w:bottom w:val="single" w:sz="4" w:space="0" w:color="auto"/>
              <w:right w:val="single" w:sz="4" w:space="0" w:color="auto"/>
            </w:tcBorders>
            <w:hideMark/>
          </w:tcPr>
          <w:p w:rsidR="00623CA8" w:rsidRDefault="00623CA8">
            <w:pPr>
              <w:spacing w:before="100"/>
            </w:pPr>
            <w:r>
              <w:t>Täckt perforation</w:t>
            </w:r>
          </w:p>
        </w:tc>
        <w:tc>
          <w:tcPr>
            <w:tcW w:w="2551" w:type="dxa"/>
            <w:tcBorders>
              <w:top w:val="single" w:sz="4" w:space="0" w:color="auto"/>
              <w:left w:val="single" w:sz="4" w:space="0" w:color="auto"/>
              <w:bottom w:val="single" w:sz="4" w:space="0" w:color="auto"/>
              <w:right w:val="single" w:sz="4" w:space="0" w:color="auto"/>
            </w:tcBorders>
            <w:hideMark/>
          </w:tcPr>
          <w:p w:rsidR="00623CA8" w:rsidRDefault="00623CA8">
            <w:pPr>
              <w:spacing w:before="100"/>
            </w:pPr>
            <w:r>
              <w:t>Flagyl 20mg/kg x1</w:t>
            </w:r>
            <w:r>
              <w:br/>
              <w:t>Eusaprim enl Fass</w:t>
            </w:r>
          </w:p>
        </w:tc>
        <w:tc>
          <w:tcPr>
            <w:tcW w:w="4836" w:type="dxa"/>
            <w:tcBorders>
              <w:top w:val="single" w:sz="4" w:space="0" w:color="auto"/>
              <w:left w:val="single" w:sz="4" w:space="0" w:color="auto"/>
              <w:bottom w:val="single" w:sz="4" w:space="0" w:color="auto"/>
              <w:right w:val="single" w:sz="4" w:space="0" w:color="auto"/>
            </w:tcBorders>
            <w:hideMark/>
          </w:tcPr>
          <w:p w:rsidR="00623CA8" w:rsidRDefault="00623CA8">
            <w:pPr>
              <w:spacing w:before="100"/>
            </w:pPr>
            <w:r>
              <w:t>3-5 dygns behandling, efter kliniskt svar</w:t>
            </w:r>
          </w:p>
        </w:tc>
      </w:tr>
      <w:tr w:rsidR="00623CA8" w:rsidTr="00623CA8">
        <w:tc>
          <w:tcPr>
            <w:tcW w:w="2127" w:type="dxa"/>
            <w:tcBorders>
              <w:top w:val="single" w:sz="4" w:space="0" w:color="auto"/>
              <w:left w:val="single" w:sz="4" w:space="0" w:color="auto"/>
              <w:bottom w:val="single" w:sz="4" w:space="0" w:color="auto"/>
              <w:right w:val="single" w:sz="4" w:space="0" w:color="auto"/>
            </w:tcBorders>
            <w:hideMark/>
          </w:tcPr>
          <w:p w:rsidR="00623CA8" w:rsidRDefault="00623CA8">
            <w:pPr>
              <w:spacing w:before="100"/>
            </w:pPr>
            <w:r>
              <w:t>Fri perforation/ generell peritonit</w:t>
            </w:r>
          </w:p>
        </w:tc>
        <w:tc>
          <w:tcPr>
            <w:tcW w:w="2551" w:type="dxa"/>
            <w:tcBorders>
              <w:top w:val="single" w:sz="4" w:space="0" w:color="auto"/>
              <w:left w:val="single" w:sz="4" w:space="0" w:color="auto"/>
              <w:bottom w:val="single" w:sz="4" w:space="0" w:color="auto"/>
              <w:right w:val="single" w:sz="4" w:space="0" w:color="auto"/>
            </w:tcBorders>
            <w:hideMark/>
          </w:tcPr>
          <w:p w:rsidR="00623CA8" w:rsidRDefault="00623CA8">
            <w:pPr>
              <w:spacing w:before="100"/>
            </w:pPr>
            <w:r>
              <w:t>Flagyl 20mg/kg x1</w:t>
            </w:r>
            <w:r>
              <w:br/>
              <w:t>Pip/Tazo 100mg+12.5mg/kg x 3</w:t>
            </w:r>
          </w:p>
        </w:tc>
        <w:tc>
          <w:tcPr>
            <w:tcW w:w="4836" w:type="dxa"/>
            <w:tcBorders>
              <w:top w:val="single" w:sz="4" w:space="0" w:color="auto"/>
              <w:left w:val="single" w:sz="4" w:space="0" w:color="auto"/>
              <w:bottom w:val="single" w:sz="4" w:space="0" w:color="auto"/>
              <w:right w:val="single" w:sz="4" w:space="0" w:color="auto"/>
            </w:tcBorders>
            <w:hideMark/>
          </w:tcPr>
          <w:p w:rsidR="00623CA8" w:rsidRDefault="00623CA8">
            <w:pPr>
              <w:spacing w:before="100"/>
            </w:pPr>
            <w:r>
              <w:t>Min 5 dgr behandling, beakta odlingssvar</w:t>
            </w:r>
          </w:p>
        </w:tc>
      </w:tr>
    </w:tbl>
    <w:p w:rsidR="00623CA8" w:rsidRDefault="00623CA8" w:rsidP="00623CA8">
      <w:pPr>
        <w:spacing w:before="240"/>
      </w:pPr>
      <w:r>
        <w:t xml:space="preserve">Vid penicillinallergi ges Ciprofloxacin 10 mg/kg x3 (max 400 mg/dos) intravenöst i stället för </w:t>
      </w:r>
      <w:r>
        <w:lastRenderedPageBreak/>
        <w:t>Pip/Tazo.</w:t>
      </w:r>
    </w:p>
    <w:p w:rsidR="00623CA8" w:rsidRDefault="00623CA8" w:rsidP="00623CA8">
      <w:pPr>
        <w:spacing w:before="240"/>
      </w:pPr>
      <w:r>
        <w:t>Byte till oral antibiotikabehandling kan ske när patienten äter oralt, biotillgängligheten för enteralt tillförd Flagyl/Eusaprim är god. Efter behandling med Pip/Tazo ges Ciprofloxacin 10-20 mg/kg (max 750 mg/dos) x 2.</w:t>
      </w:r>
    </w:p>
    <w:p w:rsidR="00623CA8" w:rsidRDefault="00623CA8" w:rsidP="00623CA8">
      <w:pPr>
        <w:spacing w:before="100"/>
      </w:pPr>
      <w:r>
        <w:t>Vid utdragen antibiotikabehandling måste odlingssvaret beaktas noggrant och behandlingen justeras vid behov. Såväl Pseudomonas Aerginosa och ESBL-E. coli förekommer och kan obehandlade medföra en ökad morbiditet.</w:t>
      </w:r>
    </w:p>
    <w:p w:rsidR="00623CA8" w:rsidRDefault="00623CA8" w:rsidP="00623CA8">
      <w:pPr>
        <w:spacing w:before="100"/>
      </w:pPr>
      <w:r>
        <w:t>De svårast sjuka patienterna kräver en individualiserad behandling såväl pre- som postop i samråd med anestesi och infektion, vilket ligger utanför detta vårdprogram.</w:t>
      </w:r>
    </w:p>
    <w:p w:rsidR="00623CA8" w:rsidRDefault="00623CA8" w:rsidP="00623CA8">
      <w:pPr>
        <w:spacing w:before="100"/>
        <w:rPr>
          <w:b/>
        </w:rPr>
      </w:pPr>
      <w:r>
        <w:rPr>
          <w:b/>
        </w:rPr>
        <w:t>Analgetika</w:t>
      </w:r>
    </w:p>
    <w:p w:rsidR="00623CA8" w:rsidRDefault="00623CA8" w:rsidP="00623CA8">
      <w:pPr>
        <w:spacing w:before="100" w:after="120"/>
      </w:pPr>
      <w:r>
        <w:t>Den postoperativa smärtlindringen baseras på smärtklinikens rekommendationer, vg se sep riktlinjer för preparatval och dosering</w:t>
      </w:r>
      <w:r>
        <w:rPr>
          <w:vertAlign w:val="superscript"/>
        </w:rPr>
        <w:t>15</w:t>
      </w:r>
      <w:r>
        <w:t>. Vid NSAID-behandling beakta risken för njurpåverkan vid hypovolemi. Det finns ingen generell kontraindikation mot Toradol (Ketorolak) i samband med appendektomi.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6422"/>
      </w:tblGrid>
      <w:tr w:rsidR="00623CA8" w:rsidTr="00623CA8">
        <w:tc>
          <w:tcPr>
            <w:tcW w:w="2835" w:type="dxa"/>
            <w:tcBorders>
              <w:top w:val="single" w:sz="4" w:space="0" w:color="auto"/>
              <w:left w:val="single" w:sz="4" w:space="0" w:color="auto"/>
              <w:bottom w:val="single" w:sz="4" w:space="0" w:color="auto"/>
              <w:right w:val="single" w:sz="4" w:space="0" w:color="auto"/>
            </w:tcBorders>
            <w:hideMark/>
          </w:tcPr>
          <w:p w:rsidR="00623CA8" w:rsidRDefault="00623CA8">
            <w:pPr>
              <w:spacing w:before="100"/>
            </w:pPr>
            <w:r>
              <w:t>Pre-op</w:t>
            </w:r>
          </w:p>
        </w:tc>
        <w:tc>
          <w:tcPr>
            <w:tcW w:w="6663" w:type="dxa"/>
            <w:tcBorders>
              <w:top w:val="single" w:sz="4" w:space="0" w:color="auto"/>
              <w:left w:val="single" w:sz="4" w:space="0" w:color="auto"/>
              <w:bottom w:val="single" w:sz="4" w:space="0" w:color="auto"/>
              <w:right w:val="single" w:sz="4" w:space="0" w:color="auto"/>
            </w:tcBorders>
            <w:hideMark/>
          </w:tcPr>
          <w:p w:rsidR="00623CA8" w:rsidRDefault="00623CA8">
            <w:pPr>
              <w:spacing w:before="100"/>
            </w:pPr>
            <w:r>
              <w:t>Perfalgan + morfin v.b.</w:t>
            </w:r>
          </w:p>
        </w:tc>
      </w:tr>
      <w:tr w:rsidR="00623CA8" w:rsidTr="00623CA8">
        <w:tc>
          <w:tcPr>
            <w:tcW w:w="2835" w:type="dxa"/>
            <w:tcBorders>
              <w:top w:val="single" w:sz="4" w:space="0" w:color="auto"/>
              <w:left w:val="single" w:sz="4" w:space="0" w:color="auto"/>
              <w:bottom w:val="single" w:sz="4" w:space="0" w:color="auto"/>
              <w:right w:val="single" w:sz="4" w:space="0" w:color="auto"/>
            </w:tcBorders>
            <w:hideMark/>
          </w:tcPr>
          <w:p w:rsidR="00623CA8" w:rsidRDefault="00623CA8">
            <w:pPr>
              <w:spacing w:before="100"/>
            </w:pPr>
            <w:r>
              <w:t>Flegmonös (/frisk)</w:t>
            </w:r>
          </w:p>
        </w:tc>
        <w:tc>
          <w:tcPr>
            <w:tcW w:w="6663" w:type="dxa"/>
            <w:tcBorders>
              <w:top w:val="single" w:sz="4" w:space="0" w:color="auto"/>
              <w:left w:val="single" w:sz="4" w:space="0" w:color="auto"/>
              <w:bottom w:val="single" w:sz="4" w:space="0" w:color="auto"/>
              <w:right w:val="single" w:sz="4" w:space="0" w:color="auto"/>
            </w:tcBorders>
            <w:hideMark/>
          </w:tcPr>
          <w:p w:rsidR="00623CA8" w:rsidRDefault="00623CA8">
            <w:pPr>
              <w:spacing w:before="100"/>
            </w:pPr>
            <w:r>
              <w:t>Perfalgan + NSAID, morfin v.b.</w:t>
            </w:r>
          </w:p>
        </w:tc>
      </w:tr>
      <w:tr w:rsidR="00623CA8" w:rsidTr="00623CA8">
        <w:tc>
          <w:tcPr>
            <w:tcW w:w="2835" w:type="dxa"/>
            <w:tcBorders>
              <w:top w:val="single" w:sz="4" w:space="0" w:color="auto"/>
              <w:left w:val="single" w:sz="4" w:space="0" w:color="auto"/>
              <w:bottom w:val="single" w:sz="4" w:space="0" w:color="auto"/>
              <w:right w:val="single" w:sz="4" w:space="0" w:color="auto"/>
            </w:tcBorders>
            <w:hideMark/>
          </w:tcPr>
          <w:p w:rsidR="00623CA8" w:rsidRDefault="00623CA8">
            <w:pPr>
              <w:spacing w:before="100"/>
            </w:pPr>
            <w:r>
              <w:t>Gangränös</w:t>
            </w:r>
          </w:p>
        </w:tc>
        <w:tc>
          <w:tcPr>
            <w:tcW w:w="6663" w:type="dxa"/>
            <w:tcBorders>
              <w:top w:val="single" w:sz="4" w:space="0" w:color="auto"/>
              <w:left w:val="single" w:sz="4" w:space="0" w:color="auto"/>
              <w:bottom w:val="single" w:sz="4" w:space="0" w:color="auto"/>
              <w:right w:val="single" w:sz="4" w:space="0" w:color="auto"/>
            </w:tcBorders>
            <w:hideMark/>
          </w:tcPr>
          <w:p w:rsidR="00623CA8" w:rsidRDefault="00623CA8">
            <w:pPr>
              <w:spacing w:before="100"/>
            </w:pPr>
            <w:r>
              <w:t>Perfalgan + NSAID, morfin v.b. (ev catapressan)</w:t>
            </w:r>
          </w:p>
        </w:tc>
      </w:tr>
      <w:tr w:rsidR="00623CA8" w:rsidTr="00623CA8">
        <w:tc>
          <w:tcPr>
            <w:tcW w:w="2835" w:type="dxa"/>
            <w:tcBorders>
              <w:top w:val="single" w:sz="4" w:space="0" w:color="auto"/>
              <w:left w:val="single" w:sz="4" w:space="0" w:color="auto"/>
              <w:bottom w:val="single" w:sz="4" w:space="0" w:color="auto"/>
              <w:right w:val="single" w:sz="4" w:space="0" w:color="auto"/>
            </w:tcBorders>
            <w:hideMark/>
          </w:tcPr>
          <w:p w:rsidR="00623CA8" w:rsidRDefault="00623CA8">
            <w:pPr>
              <w:spacing w:before="100"/>
            </w:pPr>
            <w:r>
              <w:t xml:space="preserve">Perforerad appendicit </w:t>
            </w:r>
          </w:p>
        </w:tc>
        <w:tc>
          <w:tcPr>
            <w:tcW w:w="6663" w:type="dxa"/>
            <w:tcBorders>
              <w:top w:val="single" w:sz="4" w:space="0" w:color="auto"/>
              <w:left w:val="single" w:sz="4" w:space="0" w:color="auto"/>
              <w:bottom w:val="single" w:sz="4" w:space="0" w:color="auto"/>
              <w:right w:val="single" w:sz="4" w:space="0" w:color="auto"/>
            </w:tcBorders>
            <w:hideMark/>
          </w:tcPr>
          <w:p w:rsidR="00623CA8" w:rsidRDefault="00623CA8">
            <w:pPr>
              <w:spacing w:before="100"/>
            </w:pPr>
            <w:r>
              <w:t>Perfalgan + NSAID, morfininfusion (ev catapressan)</w:t>
            </w:r>
          </w:p>
        </w:tc>
      </w:tr>
    </w:tbl>
    <w:p w:rsidR="00623CA8" w:rsidRDefault="00623CA8" w:rsidP="00623CA8">
      <w:pPr>
        <w:spacing w:before="200"/>
        <w:rPr>
          <w:i/>
        </w:rPr>
      </w:pPr>
      <w:r>
        <w:rPr>
          <w:i/>
        </w:rPr>
        <w:t>Postoperativ smärta efter laparoskopisk appendektomi kan förekomma som referred pain i skuldrorna. Denna smärta svarar bra på NSAID-preparat.</w:t>
      </w:r>
    </w:p>
    <w:p w:rsidR="00623CA8" w:rsidRDefault="00623CA8" w:rsidP="00623CA8">
      <w:pPr>
        <w:spacing w:before="100"/>
        <w:rPr>
          <w:b/>
        </w:rPr>
      </w:pPr>
      <w:r>
        <w:rPr>
          <w:b/>
        </w:rPr>
        <w:t>Komplikationer</w:t>
      </w:r>
    </w:p>
    <w:p w:rsidR="00623CA8" w:rsidRDefault="00623CA8" w:rsidP="00623CA8">
      <w:pPr>
        <w:spacing w:before="100"/>
      </w:pPr>
      <w:r>
        <w:t>Postoperativa infektioner kan kräva förlängd antibiotikabehandling som modifieras efter odlingssvar och i vissa fall dränage, i första hand ultraljudslett dränage av intraabdominella abscesser.</w:t>
      </w:r>
    </w:p>
    <w:p w:rsidR="00623CA8" w:rsidRDefault="00623CA8" w:rsidP="00623CA8">
      <w:pPr>
        <w:spacing w:before="100"/>
      </w:pPr>
      <w:r>
        <w:t>Paralytisk ileus uppträder vanligen de första postoperativa dygnen och är vanligare ju sjukare appendix varit. Utdragen paralytisk ileus kan indikera intraabdominell abscess.</w:t>
      </w:r>
    </w:p>
    <w:p w:rsidR="00623CA8" w:rsidRDefault="00623CA8" w:rsidP="00623CA8">
      <w:pPr>
        <w:spacing w:before="100"/>
      </w:pPr>
      <w:r>
        <w:t>Mekanisk ileus är ovanligt</w:t>
      </w:r>
      <w:r>
        <w:rPr>
          <w:vertAlign w:val="superscript"/>
        </w:rPr>
        <w:t>12</w:t>
      </w:r>
      <w:r>
        <w:t>, förekommer främst efter operation av perforerad appendix med peritonit och diagnostiseras med BÖS och passageröntgen. Kräver reoperation.</w:t>
      </w:r>
    </w:p>
    <w:p w:rsidR="00623CA8" w:rsidRDefault="00623CA8" w:rsidP="00623CA8">
      <w:pPr>
        <w:spacing w:before="100"/>
      </w:pPr>
    </w:p>
    <w:p w:rsidR="00623CA8" w:rsidRDefault="00623CA8" w:rsidP="00623CA8">
      <w:pPr>
        <w:spacing w:before="100"/>
        <w:rPr>
          <w:b/>
          <w:sz w:val="28"/>
          <w:szCs w:val="28"/>
        </w:rPr>
      </w:pPr>
      <w:r>
        <w:rPr>
          <w:b/>
          <w:sz w:val="28"/>
          <w:szCs w:val="28"/>
        </w:rPr>
        <w:t>Uppföljning</w:t>
      </w:r>
    </w:p>
    <w:p w:rsidR="00623CA8" w:rsidRDefault="00623CA8" w:rsidP="00623CA8">
      <w:pPr>
        <w:spacing w:before="100"/>
      </w:pPr>
      <w:r>
        <w:t>I normalfallet krävs ingen uppföljning efter operation av okomplicerad appendicit. Vid komplicerad sjukdom får uppföljningen individualiseras.</w:t>
      </w:r>
    </w:p>
    <w:p w:rsidR="00623CA8" w:rsidRDefault="00623CA8" w:rsidP="00623CA8">
      <w:pPr>
        <w:spacing w:before="100"/>
      </w:pPr>
      <w:r>
        <w:t>Det finns ingen indikation för appendectomi á froid efter en enstaka episod av appendicitabscess. Efter två episoder bör appendectomi genomföras, lämpligen tre månader efter genomgången abscessjukdom.</w:t>
      </w:r>
    </w:p>
    <w:p w:rsidR="00623CA8" w:rsidRDefault="00623CA8" w:rsidP="00623CA8">
      <w:pPr>
        <w:spacing w:before="100"/>
      </w:pPr>
    </w:p>
    <w:p w:rsidR="00623CA8" w:rsidRDefault="00623CA8" w:rsidP="00623CA8">
      <w:pPr>
        <w:spacing w:before="100"/>
      </w:pPr>
    </w:p>
    <w:p w:rsidR="00623CA8" w:rsidRDefault="00623CA8" w:rsidP="00623CA8">
      <w:pPr>
        <w:spacing w:before="100"/>
      </w:pPr>
    </w:p>
    <w:p w:rsidR="00623CA8" w:rsidRDefault="00623CA8" w:rsidP="00623CA8">
      <w:pPr>
        <w:spacing w:before="100"/>
      </w:pPr>
    </w:p>
    <w:p w:rsidR="00623CA8" w:rsidRDefault="00623CA8" w:rsidP="00623CA8">
      <w:pPr>
        <w:spacing w:before="100"/>
      </w:pPr>
    </w:p>
    <w:p w:rsidR="00623CA8" w:rsidRDefault="00623CA8" w:rsidP="00623CA8">
      <w:pPr>
        <w:spacing w:before="100"/>
      </w:pPr>
    </w:p>
    <w:p w:rsidR="00623CA8" w:rsidRDefault="00623CA8" w:rsidP="00623CA8">
      <w:pPr>
        <w:spacing w:before="100"/>
        <w:rPr>
          <w:b/>
          <w:sz w:val="28"/>
          <w:szCs w:val="28"/>
        </w:rPr>
      </w:pPr>
      <w:r>
        <w:rPr>
          <w:b/>
          <w:sz w:val="28"/>
          <w:szCs w:val="28"/>
        </w:rPr>
        <w:t>Referenser:</w:t>
      </w:r>
    </w:p>
    <w:p w:rsidR="00623CA8" w:rsidRDefault="00623CA8" w:rsidP="00623CA8">
      <w:pPr>
        <w:widowControl/>
        <w:numPr>
          <w:ilvl w:val="0"/>
          <w:numId w:val="1"/>
        </w:numPr>
        <w:spacing w:before="100"/>
      </w:pPr>
      <w:r>
        <w:t>Regionalt Vårdprogram Akut appendicit ISBN 91-85211-41-9</w:t>
      </w:r>
    </w:p>
    <w:p w:rsidR="00623CA8" w:rsidRDefault="00623CA8" w:rsidP="00623CA8">
      <w:pPr>
        <w:widowControl/>
        <w:numPr>
          <w:ilvl w:val="0"/>
          <w:numId w:val="1"/>
        </w:numPr>
        <w:spacing w:before="100"/>
        <w:rPr>
          <w:lang w:val="en-GB"/>
        </w:rPr>
      </w:pPr>
      <w:r>
        <w:rPr>
          <w:lang w:val="en-GB"/>
        </w:rPr>
        <w:t>Andersson RE, Appendicitis: Epidemiology and diagnosis (thesis). Linköpings universitet; 1998</w:t>
      </w:r>
    </w:p>
    <w:p w:rsidR="00623CA8" w:rsidRDefault="00623CA8" w:rsidP="00623CA8">
      <w:pPr>
        <w:widowControl/>
        <w:numPr>
          <w:ilvl w:val="0"/>
          <w:numId w:val="1"/>
        </w:numPr>
        <w:spacing w:before="100"/>
        <w:rPr>
          <w:lang w:val="en-GB"/>
        </w:rPr>
      </w:pPr>
      <w:r>
        <w:rPr>
          <w:lang w:val="en-GB"/>
        </w:rPr>
        <w:t xml:space="preserve">Kaiser S, Frenckner B, Jorulf HK. Suspected appendicitis in children: </w:t>
      </w:r>
      <w:smartTag w:uri="urn:schemas-microsoft-com:office:smarttags" w:element="country-region">
        <w:smartTag w:uri="urn:schemas-microsoft-com:office:smarttags" w:element="place">
          <w:r>
            <w:rPr>
              <w:lang w:val="en-GB"/>
            </w:rPr>
            <w:t>US-</w:t>
          </w:r>
        </w:smartTag>
      </w:smartTag>
      <w:r>
        <w:rPr>
          <w:lang w:val="en-GB"/>
        </w:rPr>
        <w:t xml:space="preserve"> and CT—a prospective randomized study. Radiology. 2002 jun;223(3):633-8</w:t>
      </w:r>
    </w:p>
    <w:p w:rsidR="00623CA8" w:rsidRDefault="00623CA8" w:rsidP="00623CA8">
      <w:pPr>
        <w:widowControl/>
        <w:numPr>
          <w:ilvl w:val="0"/>
          <w:numId w:val="1"/>
        </w:numPr>
        <w:spacing w:before="100"/>
        <w:rPr>
          <w:lang w:val="en-GB"/>
        </w:rPr>
      </w:pPr>
      <w:r>
        <w:rPr>
          <w:lang w:val="en-GB"/>
        </w:rPr>
        <w:t>Sauerland S, Lefering R, Neugebaser EAM. Laparoscopic versus open surgery for suspected appendicitis. The Cochrane Collaboration, The Cochrane library 2006, issue 4</w:t>
      </w:r>
    </w:p>
    <w:p w:rsidR="00623CA8" w:rsidRDefault="00623CA8" w:rsidP="00623CA8">
      <w:pPr>
        <w:widowControl/>
        <w:numPr>
          <w:ilvl w:val="0"/>
          <w:numId w:val="1"/>
        </w:numPr>
        <w:spacing w:before="100"/>
        <w:rPr>
          <w:lang w:val="en-GB"/>
        </w:rPr>
      </w:pPr>
      <w:r>
        <w:rPr>
          <w:lang w:val="en-GB"/>
        </w:rPr>
        <w:t>Aziz O. et al Laparoscopic Versus Open Appendectomy in Children A Meta-Analysis. Ann Surg 2006;243(1):17-27</w:t>
      </w:r>
    </w:p>
    <w:p w:rsidR="00623CA8" w:rsidRDefault="00623CA8" w:rsidP="00623CA8">
      <w:pPr>
        <w:widowControl/>
        <w:numPr>
          <w:ilvl w:val="0"/>
          <w:numId w:val="1"/>
        </w:numPr>
        <w:spacing w:before="100"/>
        <w:rPr>
          <w:lang w:val="en-GB"/>
        </w:rPr>
      </w:pPr>
      <w:r>
        <w:rPr>
          <w:lang w:val="en-GB"/>
        </w:rPr>
        <w:t>Bhoyrul et al A Randomized Prospective Study of Radially Expanding Trocars. J Gastrointest Surg June 2000</w:t>
      </w:r>
    </w:p>
    <w:p w:rsidR="00623CA8" w:rsidRDefault="00623CA8" w:rsidP="00623CA8">
      <w:pPr>
        <w:widowControl/>
        <w:numPr>
          <w:ilvl w:val="0"/>
          <w:numId w:val="1"/>
        </w:numPr>
        <w:spacing w:before="100"/>
        <w:rPr>
          <w:lang w:val="en-GB"/>
        </w:rPr>
      </w:pPr>
      <w:r>
        <w:rPr>
          <w:lang w:val="en-GB"/>
        </w:rPr>
        <w:t>Rothenberg et al A Clinical Evaluation of the Use of Radially Expandable Laparoscopic Access Devices in the Pediatric Population. IPEG 1999</w:t>
      </w:r>
    </w:p>
    <w:p w:rsidR="00623CA8" w:rsidRDefault="00623CA8" w:rsidP="00623CA8">
      <w:pPr>
        <w:widowControl/>
        <w:numPr>
          <w:ilvl w:val="0"/>
          <w:numId w:val="1"/>
        </w:numPr>
        <w:spacing w:before="100"/>
        <w:rPr>
          <w:lang w:val="en-GB"/>
        </w:rPr>
      </w:pPr>
      <w:r>
        <w:rPr>
          <w:lang w:val="en-GB"/>
        </w:rPr>
        <w:t>Turner Controlled Studies Comparing Radially Expanding Access Devices with Conventional Cannulas for Laparoscopic Entry. JAAGL  6(3):S58</w:t>
      </w:r>
    </w:p>
    <w:p w:rsidR="00623CA8" w:rsidRDefault="00623CA8" w:rsidP="00623CA8">
      <w:pPr>
        <w:widowControl/>
        <w:numPr>
          <w:ilvl w:val="0"/>
          <w:numId w:val="1"/>
        </w:numPr>
        <w:spacing w:before="100"/>
        <w:rPr>
          <w:lang w:val="en-GB"/>
        </w:rPr>
      </w:pPr>
      <w:r>
        <w:rPr>
          <w:lang w:val="en-GB"/>
        </w:rPr>
        <w:t>Kazemier G. et al Securing the appendiceal stump in laparoscopic appendectomy: evidence for routine stapling? Surg Endosc (2006)20:1473-6</w:t>
      </w:r>
    </w:p>
    <w:p w:rsidR="00623CA8" w:rsidRDefault="00623CA8" w:rsidP="00623CA8">
      <w:pPr>
        <w:widowControl/>
        <w:numPr>
          <w:ilvl w:val="0"/>
          <w:numId w:val="1"/>
        </w:numPr>
        <w:spacing w:before="100"/>
        <w:rPr>
          <w:lang w:val="en-GB"/>
        </w:rPr>
      </w:pPr>
      <w:r>
        <w:rPr>
          <w:lang w:val="en-GB"/>
        </w:rPr>
        <w:t xml:space="preserve">Beldi G. et al Analysis of stapling </w:t>
      </w:r>
      <w:r>
        <w:rPr>
          <w:i/>
          <w:lang w:val="en-GB"/>
        </w:rPr>
        <w:t>versus</w:t>
      </w:r>
      <w:r>
        <w:rPr>
          <w:lang w:val="en-GB"/>
        </w:rPr>
        <w:t xml:space="preserve"> endoloops in appendiceal stump closure B J Surg 2006;93:1390-3</w:t>
      </w:r>
    </w:p>
    <w:p w:rsidR="00623CA8" w:rsidRDefault="00623CA8" w:rsidP="00623CA8">
      <w:pPr>
        <w:widowControl/>
        <w:numPr>
          <w:ilvl w:val="0"/>
          <w:numId w:val="1"/>
        </w:numPr>
        <w:spacing w:before="100"/>
        <w:rPr>
          <w:lang w:val="en-GB"/>
        </w:rPr>
      </w:pPr>
      <w:r>
        <w:rPr>
          <w:lang w:val="en-GB"/>
        </w:rPr>
        <w:t>Söderqvist-Ellinder C. et al Prophylactic Antibiotics in uncomplicated appendicitis in childhood-a prospective randomized study. Eur J Ped Surg 1995;5:282-5</w:t>
      </w:r>
    </w:p>
    <w:p w:rsidR="00623CA8" w:rsidRDefault="00623CA8" w:rsidP="00623CA8">
      <w:pPr>
        <w:widowControl/>
        <w:numPr>
          <w:ilvl w:val="0"/>
          <w:numId w:val="1"/>
        </w:numPr>
        <w:spacing w:before="100"/>
        <w:rPr>
          <w:lang w:val="en-GB"/>
        </w:rPr>
      </w:pPr>
      <w:r>
        <w:rPr>
          <w:lang w:val="en-GB"/>
        </w:rPr>
        <w:t>Ahlberg G. et al Mechanical Small-bowel obstruction after conventional appendectomy in children. Eur J Ped Surg 1997;</w:t>
      </w:r>
      <w:smartTag w:uri="urn:schemas-microsoft-com:office:smarttags" w:element="time">
        <w:smartTagPr>
          <w:attr w:name="Hour" w:val="7"/>
          <w:attr w:name="Minute" w:val="13"/>
        </w:smartTagPr>
        <w:r>
          <w:rPr>
            <w:lang w:val="en-GB"/>
          </w:rPr>
          <w:t>7:13</w:t>
        </w:r>
      </w:smartTag>
      <w:r>
        <w:rPr>
          <w:lang w:val="en-GB"/>
        </w:rPr>
        <w:t>-5</w:t>
      </w:r>
    </w:p>
    <w:p w:rsidR="00623CA8" w:rsidRDefault="00623CA8" w:rsidP="00623CA8">
      <w:pPr>
        <w:widowControl/>
        <w:numPr>
          <w:ilvl w:val="0"/>
          <w:numId w:val="1"/>
        </w:numPr>
        <w:spacing w:before="100"/>
      </w:pPr>
      <w:r>
        <w:t>Egna ej publicerade data, kvalitetsregister appendicit ALB 2006-2008. vid ca 30 % av fritt perforerad appendicit resistent flora för Flagyl/Claforan.</w:t>
      </w:r>
    </w:p>
    <w:p w:rsidR="00623CA8" w:rsidRDefault="00623CA8" w:rsidP="00623CA8">
      <w:pPr>
        <w:widowControl/>
        <w:numPr>
          <w:ilvl w:val="0"/>
          <w:numId w:val="1"/>
        </w:numPr>
        <w:spacing w:before="100"/>
        <w:rPr>
          <w:lang w:val="en-GB"/>
        </w:rPr>
      </w:pPr>
      <w:r>
        <w:rPr>
          <w:lang w:val="en-GB"/>
        </w:rPr>
        <w:t>Ristorp Andersen B, kallehave FL, Keinike Andersen H, Antibiotics versus placebo for prevention of postoperative infection after appendectomy, Cochrane database of Systematic Reviews, 4:2009</w:t>
      </w:r>
    </w:p>
    <w:p w:rsidR="00623CA8" w:rsidRDefault="00623CA8" w:rsidP="00623CA8">
      <w:pPr>
        <w:widowControl/>
        <w:numPr>
          <w:ilvl w:val="0"/>
          <w:numId w:val="1"/>
        </w:numPr>
        <w:spacing w:before="100"/>
      </w:pPr>
      <w:r>
        <w:t>Riktlinjer för smärtbehandling vid ALB, http://inuti.karolinska.se/upload/Barnanestesi/Riktlinjer2008-slutversion.pdf</w:t>
      </w:r>
    </w:p>
    <w:p w:rsidR="00623CA8" w:rsidRDefault="00623CA8" w:rsidP="00623CA8">
      <w:pPr>
        <w:spacing w:before="100"/>
        <w:rPr>
          <w:sz w:val="16"/>
        </w:rPr>
      </w:pPr>
    </w:p>
    <w:p w:rsidR="00623CA8" w:rsidRDefault="00623CA8" w:rsidP="00623CA8">
      <w:pPr>
        <w:widowControl/>
        <w:rPr>
          <w:b/>
          <w:sz w:val="28"/>
          <w:szCs w:val="28"/>
        </w:rPr>
      </w:pPr>
    </w:p>
    <w:p w:rsidR="00623CA8" w:rsidRDefault="00623CA8" w:rsidP="00623CA8">
      <w:pPr>
        <w:widowControl/>
        <w:rPr>
          <w:b/>
          <w:sz w:val="28"/>
          <w:szCs w:val="28"/>
        </w:rPr>
      </w:pPr>
      <w:r>
        <w:rPr>
          <w:b/>
          <w:sz w:val="28"/>
          <w:szCs w:val="28"/>
        </w:rPr>
        <w:t>Versions</w:t>
      </w:r>
      <w:r w:rsidRPr="0073674B">
        <w:rPr>
          <w:b/>
          <w:sz w:val="28"/>
          <w:szCs w:val="28"/>
        </w:rPr>
        <w:t>historik</w:t>
      </w:r>
    </w:p>
    <w:p w:rsidR="00623CA8" w:rsidRDefault="00623CA8" w:rsidP="00623CA8">
      <w:r>
        <w:t>Varje dokument bör innehålla en historik som för varje version talar om vad som ändrats, vem som gjort ändringen och när ändringen gjordes.</w:t>
      </w:r>
    </w:p>
    <w:p w:rsidR="00623CA8" w:rsidRDefault="00623CA8" w:rsidP="00623CA8">
      <w:pPr>
        <w:widowControl/>
      </w:pPr>
    </w:p>
    <w:tbl>
      <w:tblPr>
        <w:tblStyle w:val="Tabellrutnt"/>
        <w:tblW w:w="0" w:type="auto"/>
        <w:tblLook w:val="0020" w:firstRow="1" w:lastRow="0" w:firstColumn="0" w:lastColumn="0" w:noHBand="0" w:noVBand="0"/>
      </w:tblPr>
      <w:tblGrid>
        <w:gridCol w:w="1242"/>
        <w:gridCol w:w="1418"/>
        <w:gridCol w:w="4248"/>
        <w:gridCol w:w="2303"/>
      </w:tblGrid>
      <w:tr w:rsidR="00623CA8" w:rsidRPr="0073674B" w:rsidTr="00A5512D">
        <w:tc>
          <w:tcPr>
            <w:tcW w:w="1242" w:type="dxa"/>
            <w:shd w:val="clear" w:color="auto" w:fill="D9D9D9" w:themeFill="background1" w:themeFillShade="D9"/>
          </w:tcPr>
          <w:p w:rsidR="00623CA8" w:rsidRPr="0073674B" w:rsidRDefault="00623CA8" w:rsidP="00A5512D">
            <w:pPr>
              <w:spacing w:before="120" w:after="120"/>
              <w:jc w:val="both"/>
              <w:rPr>
                <w:b/>
                <w:bCs/>
              </w:rPr>
            </w:pPr>
            <w:r w:rsidRPr="0073674B">
              <w:rPr>
                <w:b/>
                <w:bCs/>
              </w:rPr>
              <w:t>Version</w:t>
            </w:r>
          </w:p>
        </w:tc>
        <w:tc>
          <w:tcPr>
            <w:tcW w:w="1418" w:type="dxa"/>
            <w:shd w:val="clear" w:color="auto" w:fill="D9D9D9" w:themeFill="background1" w:themeFillShade="D9"/>
          </w:tcPr>
          <w:p w:rsidR="00623CA8" w:rsidRPr="0073674B" w:rsidRDefault="00623CA8" w:rsidP="00A5512D">
            <w:pPr>
              <w:spacing w:before="120" w:after="120"/>
              <w:jc w:val="both"/>
              <w:rPr>
                <w:b/>
                <w:bCs/>
              </w:rPr>
            </w:pPr>
            <w:r w:rsidRPr="0073674B">
              <w:rPr>
                <w:b/>
                <w:bCs/>
              </w:rPr>
              <w:t>Datum</w:t>
            </w:r>
          </w:p>
        </w:tc>
        <w:tc>
          <w:tcPr>
            <w:tcW w:w="4248" w:type="dxa"/>
            <w:shd w:val="clear" w:color="auto" w:fill="D9D9D9" w:themeFill="background1" w:themeFillShade="D9"/>
          </w:tcPr>
          <w:p w:rsidR="00623CA8" w:rsidRPr="0073674B" w:rsidRDefault="00623CA8" w:rsidP="00A5512D">
            <w:pPr>
              <w:spacing w:before="120" w:after="120"/>
              <w:jc w:val="both"/>
              <w:rPr>
                <w:b/>
                <w:bCs/>
              </w:rPr>
            </w:pPr>
            <w:r w:rsidRPr="0073674B">
              <w:rPr>
                <w:b/>
                <w:bCs/>
              </w:rPr>
              <w:t>Förändring och kommentar</w:t>
            </w:r>
          </w:p>
        </w:tc>
        <w:tc>
          <w:tcPr>
            <w:tcW w:w="2303" w:type="dxa"/>
            <w:shd w:val="clear" w:color="auto" w:fill="D9D9D9" w:themeFill="background1" w:themeFillShade="D9"/>
          </w:tcPr>
          <w:p w:rsidR="00623CA8" w:rsidRPr="0073674B" w:rsidRDefault="00623CA8" w:rsidP="00A5512D">
            <w:pPr>
              <w:spacing w:before="120" w:after="120"/>
              <w:jc w:val="both"/>
              <w:rPr>
                <w:b/>
                <w:bCs/>
              </w:rPr>
            </w:pPr>
            <w:r w:rsidRPr="0073674B">
              <w:rPr>
                <w:b/>
                <w:bCs/>
              </w:rPr>
              <w:t>Ansvarig</w:t>
            </w:r>
          </w:p>
        </w:tc>
      </w:tr>
      <w:tr w:rsidR="00FE11D0" w:rsidRPr="0073674B" w:rsidTr="00A5512D">
        <w:tc>
          <w:tcPr>
            <w:tcW w:w="1242" w:type="dxa"/>
          </w:tcPr>
          <w:p w:rsidR="00FE11D0" w:rsidRDefault="00FE11D0" w:rsidP="00A5512D">
            <w:r>
              <w:t>7</w:t>
            </w:r>
          </w:p>
        </w:tc>
        <w:tc>
          <w:tcPr>
            <w:tcW w:w="1418" w:type="dxa"/>
          </w:tcPr>
          <w:p w:rsidR="00FE11D0" w:rsidRDefault="00FE11D0" w:rsidP="00A5512D">
            <w:r>
              <w:t>160905</w:t>
            </w:r>
          </w:p>
        </w:tc>
        <w:tc>
          <w:tcPr>
            <w:tcW w:w="4248" w:type="dxa"/>
          </w:tcPr>
          <w:p w:rsidR="00FE11D0" w:rsidRDefault="00FE11D0" w:rsidP="00A5512D">
            <w:r>
              <w:t>Bilaga</w:t>
            </w:r>
          </w:p>
        </w:tc>
        <w:tc>
          <w:tcPr>
            <w:tcW w:w="2303" w:type="dxa"/>
          </w:tcPr>
          <w:p w:rsidR="00FE11D0" w:rsidRDefault="00FE11D0" w:rsidP="00A5512D">
            <w:r>
              <w:t>M. Almström</w:t>
            </w:r>
          </w:p>
        </w:tc>
      </w:tr>
      <w:tr w:rsidR="00623CA8" w:rsidRPr="0073674B" w:rsidTr="00A5512D">
        <w:tc>
          <w:tcPr>
            <w:tcW w:w="1242" w:type="dxa"/>
          </w:tcPr>
          <w:p w:rsidR="00623CA8" w:rsidRPr="0073674B" w:rsidRDefault="00623CA8" w:rsidP="00A5512D">
            <w:r>
              <w:t>6</w:t>
            </w:r>
          </w:p>
        </w:tc>
        <w:tc>
          <w:tcPr>
            <w:tcW w:w="1418" w:type="dxa"/>
          </w:tcPr>
          <w:p w:rsidR="00623CA8" w:rsidRPr="0073674B" w:rsidRDefault="00623CA8" w:rsidP="00A5512D">
            <w:r>
              <w:t>160223</w:t>
            </w:r>
          </w:p>
        </w:tc>
        <w:tc>
          <w:tcPr>
            <w:tcW w:w="4248" w:type="dxa"/>
          </w:tcPr>
          <w:p w:rsidR="00623CA8" w:rsidRPr="0073674B" w:rsidRDefault="00623CA8" w:rsidP="00A5512D">
            <w:r>
              <w:t>Uppdatering</w:t>
            </w:r>
          </w:p>
        </w:tc>
        <w:tc>
          <w:tcPr>
            <w:tcW w:w="2303" w:type="dxa"/>
          </w:tcPr>
          <w:p w:rsidR="00623CA8" w:rsidRPr="0073674B" w:rsidRDefault="00623CA8" w:rsidP="00A5512D">
            <w:r>
              <w:t>JF Svensson</w:t>
            </w:r>
          </w:p>
        </w:tc>
      </w:tr>
      <w:tr w:rsidR="00623CA8" w:rsidRPr="0073674B" w:rsidTr="00A5512D">
        <w:tc>
          <w:tcPr>
            <w:tcW w:w="1242" w:type="dxa"/>
          </w:tcPr>
          <w:p w:rsidR="00623CA8" w:rsidRPr="0073674B" w:rsidRDefault="00623CA8" w:rsidP="00A5512D"/>
        </w:tc>
        <w:tc>
          <w:tcPr>
            <w:tcW w:w="1418" w:type="dxa"/>
          </w:tcPr>
          <w:p w:rsidR="00623CA8" w:rsidRPr="0073674B" w:rsidRDefault="00623CA8" w:rsidP="00A5512D"/>
        </w:tc>
        <w:tc>
          <w:tcPr>
            <w:tcW w:w="4248" w:type="dxa"/>
          </w:tcPr>
          <w:p w:rsidR="00623CA8" w:rsidRPr="0073674B" w:rsidRDefault="00623CA8" w:rsidP="00A5512D"/>
        </w:tc>
        <w:tc>
          <w:tcPr>
            <w:tcW w:w="2303" w:type="dxa"/>
          </w:tcPr>
          <w:p w:rsidR="00623CA8" w:rsidRPr="0073674B" w:rsidRDefault="00623CA8" w:rsidP="00A5512D"/>
        </w:tc>
      </w:tr>
    </w:tbl>
    <w:p w:rsidR="00623CA8" w:rsidRDefault="00623CA8" w:rsidP="00623CA8"/>
    <w:sectPr w:rsidR="00623CA8" w:rsidSect="00051851">
      <w:headerReference w:type="default" r:id="rId8"/>
      <w:footerReference w:type="default" r:id="rId9"/>
      <w:headerReference w:type="first" r:id="rId10"/>
      <w:footerReference w:type="first" r:id="rId11"/>
      <w:pgSz w:w="11906" w:h="16838" w:code="9"/>
      <w:pgMar w:top="1985" w:right="847" w:bottom="1985" w:left="1985"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A70" w:rsidRDefault="00F74A70" w:rsidP="00F47081">
      <w:r>
        <w:separator/>
      </w:r>
    </w:p>
  </w:endnote>
  <w:endnote w:type="continuationSeparator" w:id="0">
    <w:p w:rsidR="00F74A70" w:rsidRDefault="00F74A70"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907854" w:rsidP="005C7C25">
          <w:pPr>
            <w:tabs>
              <w:tab w:val="left" w:pos="5010"/>
              <w:tab w:val="left" w:pos="6663"/>
            </w:tabs>
            <w:rPr>
              <w:rFonts w:asciiTheme="minorHAnsi" w:hAnsiTheme="minorHAnsi"/>
              <w:sz w:val="16"/>
              <w:szCs w:val="16"/>
            </w:rPr>
          </w:pPr>
          <w:bookmarkStart w:id="5" w:name="handläggare_sf"/>
          <w:r>
            <w:rPr>
              <w:rFonts w:asciiTheme="minorHAnsi" w:hAnsiTheme="minorHAnsi"/>
              <w:sz w:val="16"/>
              <w:szCs w:val="16"/>
            </w:rPr>
            <w:t>Jan F Svensson/Karolinska/SLL;Markus Almström/Karolinska/SLL;Marie Nurmi/Karolinska/SLL;Julia Geborek Lundberg/Karolinska/SLL</w:t>
          </w:r>
          <w:bookmarkEnd w:id="5"/>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907854" w:rsidP="005C7C25">
          <w:pPr>
            <w:tabs>
              <w:tab w:val="left" w:pos="5010"/>
              <w:tab w:val="left" w:pos="6663"/>
            </w:tabs>
            <w:rPr>
              <w:rFonts w:asciiTheme="minorHAnsi" w:hAnsiTheme="minorHAnsi"/>
              <w:sz w:val="16"/>
              <w:szCs w:val="16"/>
            </w:rPr>
          </w:pPr>
          <w:bookmarkStart w:id="6" w:name="dokumentnr_sf"/>
          <w:bookmarkStart w:id="7" w:name="löpnummer_sf"/>
          <w:bookmarkEnd w:id="6"/>
          <w:r>
            <w:rPr>
              <w:rFonts w:asciiTheme="minorHAnsi" w:hAnsiTheme="minorHAnsi"/>
              <w:sz w:val="16"/>
              <w:szCs w:val="16"/>
            </w:rPr>
            <w:t>Kar1-0153</w:t>
          </w:r>
          <w:bookmarkEnd w:id="7"/>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907854" w:rsidP="005C7C25">
          <w:pPr>
            <w:tabs>
              <w:tab w:val="left" w:pos="5010"/>
              <w:tab w:val="left" w:pos="6663"/>
            </w:tabs>
            <w:rPr>
              <w:rFonts w:asciiTheme="minorHAnsi" w:hAnsiTheme="minorHAnsi"/>
              <w:sz w:val="16"/>
              <w:szCs w:val="16"/>
            </w:rPr>
          </w:pPr>
          <w:bookmarkStart w:id="8" w:name="fastställare_sf"/>
          <w:r>
            <w:rPr>
              <w:rFonts w:asciiTheme="minorHAnsi" w:hAnsiTheme="minorHAnsi"/>
              <w:sz w:val="16"/>
              <w:szCs w:val="16"/>
            </w:rPr>
            <w:t>Tomas Wester/Karolinska/SLL</w:t>
          </w:r>
          <w:bookmarkEnd w:id="8"/>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907854" w:rsidP="005C7C25">
          <w:pPr>
            <w:tabs>
              <w:tab w:val="left" w:pos="5010"/>
              <w:tab w:val="left" w:pos="6663"/>
            </w:tabs>
            <w:rPr>
              <w:rFonts w:asciiTheme="minorHAnsi" w:hAnsiTheme="minorHAnsi"/>
              <w:sz w:val="16"/>
              <w:szCs w:val="16"/>
            </w:rPr>
          </w:pPr>
          <w:bookmarkStart w:id="9" w:name="version_sf"/>
          <w:r>
            <w:rPr>
              <w:rFonts w:asciiTheme="minorHAnsi" w:hAnsiTheme="minorHAnsi"/>
              <w:sz w:val="16"/>
              <w:szCs w:val="16"/>
            </w:rPr>
            <w:t>11</w:t>
          </w:r>
          <w:bookmarkEnd w:id="9"/>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10" w:name="organisation_sf"/>
          <w:bookmarkEnd w:id="10"/>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907854" w:rsidP="00E8302B">
          <w:pPr>
            <w:tabs>
              <w:tab w:val="left" w:pos="5010"/>
              <w:tab w:val="left" w:pos="6663"/>
            </w:tabs>
            <w:rPr>
              <w:rFonts w:asciiTheme="minorHAnsi" w:hAnsiTheme="minorHAnsi"/>
              <w:sz w:val="16"/>
              <w:szCs w:val="16"/>
            </w:rPr>
          </w:pPr>
          <w:bookmarkStart w:id="11" w:name="giltigdatum_sf"/>
          <w:r>
            <w:rPr>
              <w:rFonts w:asciiTheme="minorHAnsi" w:hAnsiTheme="minorHAnsi"/>
              <w:sz w:val="16"/>
              <w:szCs w:val="16"/>
            </w:rPr>
            <w:t>2020-04-21</w:t>
          </w:r>
          <w:bookmarkEnd w:id="11"/>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1B662F"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907854">
            <w:rPr>
              <w:rFonts w:asciiTheme="minorHAnsi" w:hAnsiTheme="minorHAnsi"/>
              <w:noProof/>
              <w:sz w:val="16"/>
              <w:szCs w:val="16"/>
            </w:rPr>
            <w:t>2020-05-27</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907854">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907854" w:rsidP="005C7C25">
          <w:pPr>
            <w:tabs>
              <w:tab w:val="left" w:pos="5010"/>
              <w:tab w:val="left" w:pos="6663"/>
            </w:tabs>
            <w:rPr>
              <w:rFonts w:asciiTheme="minorHAnsi" w:hAnsiTheme="minorHAnsi"/>
              <w:sz w:val="16"/>
              <w:szCs w:val="16"/>
            </w:rPr>
          </w:pPr>
          <w:bookmarkStart w:id="15" w:name="handläggare"/>
          <w:r>
            <w:rPr>
              <w:rFonts w:asciiTheme="minorHAnsi" w:hAnsiTheme="minorHAnsi"/>
              <w:sz w:val="16"/>
              <w:szCs w:val="16"/>
            </w:rPr>
            <w:t>Jan F Svensson/Karolinska/SLL;Markus Almström/Karolinska/SLL;Marie Nurmi/Karolinska/SLL;Julia Geborek Lundberg/Karolinska/SLL</w:t>
          </w:r>
          <w:bookmarkEnd w:id="15"/>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907854" w:rsidP="00BD7647">
          <w:pPr>
            <w:tabs>
              <w:tab w:val="left" w:pos="5010"/>
              <w:tab w:val="left" w:pos="6663"/>
            </w:tabs>
            <w:rPr>
              <w:rFonts w:asciiTheme="minorHAnsi" w:hAnsiTheme="minorHAnsi"/>
              <w:sz w:val="16"/>
              <w:szCs w:val="16"/>
            </w:rPr>
          </w:pPr>
          <w:bookmarkStart w:id="16" w:name="löpnummer"/>
          <w:r>
            <w:rPr>
              <w:rFonts w:asciiTheme="minorHAnsi" w:hAnsiTheme="minorHAnsi"/>
              <w:sz w:val="16"/>
              <w:szCs w:val="16"/>
            </w:rPr>
            <w:t>Kar1-0153</w:t>
          </w:r>
          <w:bookmarkEnd w:id="16"/>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907854" w:rsidP="005C7C25">
          <w:pPr>
            <w:tabs>
              <w:tab w:val="left" w:pos="5010"/>
              <w:tab w:val="left" w:pos="6663"/>
            </w:tabs>
            <w:rPr>
              <w:rFonts w:asciiTheme="minorHAnsi" w:hAnsiTheme="minorHAnsi"/>
              <w:sz w:val="16"/>
              <w:szCs w:val="16"/>
            </w:rPr>
          </w:pPr>
          <w:bookmarkStart w:id="17" w:name="fastställare"/>
          <w:r>
            <w:rPr>
              <w:rFonts w:asciiTheme="minorHAnsi" w:hAnsiTheme="minorHAnsi"/>
              <w:sz w:val="16"/>
              <w:szCs w:val="16"/>
            </w:rPr>
            <w:t>Tomas Wester/Karolinska/SLL</w:t>
          </w:r>
          <w:bookmarkEnd w:id="17"/>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907854" w:rsidP="00BD7647">
          <w:pPr>
            <w:tabs>
              <w:tab w:val="left" w:pos="5010"/>
              <w:tab w:val="left" w:pos="6663"/>
            </w:tabs>
            <w:rPr>
              <w:rFonts w:asciiTheme="minorHAnsi" w:hAnsiTheme="minorHAnsi"/>
              <w:sz w:val="16"/>
              <w:szCs w:val="16"/>
            </w:rPr>
          </w:pPr>
          <w:bookmarkStart w:id="18" w:name="version"/>
          <w:r>
            <w:rPr>
              <w:rFonts w:asciiTheme="minorHAnsi" w:hAnsiTheme="minorHAnsi"/>
              <w:sz w:val="16"/>
              <w:szCs w:val="16"/>
            </w:rPr>
            <w:t>11</w:t>
          </w:r>
          <w:bookmarkEnd w:id="18"/>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9" w:name="Organisation"/>
          <w:bookmarkEnd w:id="19"/>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907854" w:rsidP="005C7C25">
          <w:pPr>
            <w:tabs>
              <w:tab w:val="left" w:pos="5010"/>
              <w:tab w:val="left" w:pos="6663"/>
            </w:tabs>
            <w:rPr>
              <w:rFonts w:asciiTheme="minorHAnsi" w:hAnsiTheme="minorHAnsi"/>
              <w:sz w:val="16"/>
              <w:szCs w:val="16"/>
            </w:rPr>
          </w:pPr>
          <w:bookmarkStart w:id="20" w:name="giltigdatum"/>
          <w:r>
            <w:rPr>
              <w:rFonts w:asciiTheme="minorHAnsi" w:hAnsiTheme="minorHAnsi"/>
              <w:sz w:val="16"/>
              <w:szCs w:val="16"/>
            </w:rPr>
            <w:t>2020-04-21</w:t>
          </w:r>
          <w:bookmarkEnd w:id="20"/>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1B662F"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907854">
            <w:rPr>
              <w:rFonts w:asciiTheme="minorHAnsi" w:hAnsiTheme="minorHAnsi"/>
              <w:noProof/>
              <w:sz w:val="16"/>
              <w:szCs w:val="16"/>
            </w:rPr>
            <w:t>2020-05-27</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907854">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A70" w:rsidRDefault="00F74A70" w:rsidP="00F47081">
      <w:r>
        <w:separator/>
      </w:r>
    </w:p>
  </w:footnote>
  <w:footnote w:type="continuationSeparator" w:id="0">
    <w:p w:rsidR="00F74A70" w:rsidRDefault="00F74A70"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3D3D1C">
      <w:tc>
        <w:tcPr>
          <w:tcW w:w="4077" w:type="dxa"/>
        </w:tcPr>
        <w:p w:rsidR="001C5ECA" w:rsidRPr="00123992" w:rsidRDefault="00C579D4" w:rsidP="0000601D">
          <w:pPr>
            <w:tabs>
              <w:tab w:val="left" w:pos="5010"/>
              <w:tab w:val="left" w:pos="6663"/>
            </w:tabs>
            <w:rPr>
              <w:rFonts w:asciiTheme="minorHAnsi" w:hAnsiTheme="minorHAnsi"/>
            </w:rPr>
          </w:pPr>
          <w:r w:rsidRPr="00B5688E">
            <w:rPr>
              <w:rFonts w:asciiTheme="minorHAnsi" w:hAnsiTheme="minorHAnsi"/>
              <w:noProof/>
              <w:sz w:val="20"/>
              <w:szCs w:val="22"/>
            </w:rPr>
            <w:drawing>
              <wp:anchor distT="0" distB="0" distL="114300" distR="114300" simplePos="0" relativeHeight="251658240" behindDoc="0" locked="0" layoutInCell="1" allowOverlap="1">
                <wp:simplePos x="0" y="0"/>
                <wp:positionH relativeFrom="page">
                  <wp:posOffset>-271145</wp:posOffset>
                </wp:positionH>
                <wp:positionV relativeFrom="page">
                  <wp:posOffset>-141605</wp:posOffset>
                </wp:positionV>
                <wp:extent cx="314325" cy="447675"/>
                <wp:effectExtent l="19050" t="0" r="9525" b="0"/>
                <wp:wrapNone/>
                <wp:docPr id="87" name="Bild 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
                        <pic:cNvPicPr>
                          <a:picLocks noChangeAspect="1" noChangeArrowheads="1"/>
                        </pic:cNvPicPr>
                      </pic:nvPicPr>
                      <pic:blipFill>
                        <a:blip r:embed="rId1"/>
                        <a:srcRect/>
                        <a:stretch>
                          <a:fillRect/>
                        </a:stretch>
                      </pic:blipFill>
                      <pic:spPr bwMode="auto">
                        <a:xfrm>
                          <a:off x="0" y="0"/>
                          <a:ext cx="314325" cy="447675"/>
                        </a:xfrm>
                        <a:prstGeom prst="rect">
                          <a:avLst/>
                        </a:prstGeom>
                        <a:noFill/>
                        <a:ln w="9525">
                          <a:noFill/>
                          <a:miter lim="800000"/>
                          <a:headEnd/>
                          <a:tailEnd/>
                        </a:ln>
                      </pic:spPr>
                    </pic:pic>
                  </a:graphicData>
                </a:graphic>
              </wp:anchor>
            </w:drawing>
          </w:r>
        </w:p>
      </w:tc>
      <w:tc>
        <w:tcPr>
          <w:tcW w:w="3867" w:type="dxa"/>
        </w:tcPr>
        <w:p w:rsidR="001C5ECA" w:rsidRPr="00123992" w:rsidRDefault="00907854"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1B662F"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E50156">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1F67B1">
            <w:rPr>
              <w:rFonts w:asciiTheme="minorHAnsi" w:hAnsiTheme="minorHAnsi"/>
              <w:noProof/>
            </w:rPr>
            <w:fldChar w:fldCharType="begin"/>
          </w:r>
          <w:r w:rsidR="001F67B1">
            <w:rPr>
              <w:rFonts w:asciiTheme="minorHAnsi" w:hAnsiTheme="minorHAnsi"/>
              <w:noProof/>
            </w:rPr>
            <w:instrText xml:space="preserve"> NUMPAGES  \* MERGEFORMAT </w:instrText>
          </w:r>
          <w:r w:rsidR="001F67B1">
            <w:rPr>
              <w:rFonts w:asciiTheme="minorHAnsi" w:hAnsiTheme="minorHAnsi"/>
              <w:noProof/>
            </w:rPr>
            <w:fldChar w:fldCharType="separate"/>
          </w:r>
          <w:r w:rsidR="00E50156" w:rsidRPr="00E50156">
            <w:rPr>
              <w:rFonts w:asciiTheme="minorHAnsi" w:hAnsiTheme="minorHAnsi"/>
              <w:noProof/>
            </w:rPr>
            <w:t>4</w:t>
          </w:r>
          <w:r w:rsidR="001F67B1">
            <w:rPr>
              <w:rFonts w:asciiTheme="minorHAnsi" w:hAnsiTheme="minorHAnsi"/>
              <w:noProof/>
            </w:rPr>
            <w:fldChar w:fldCharType="end"/>
          </w:r>
          <w:r w:rsidR="001C5ECA" w:rsidRPr="00123992">
            <w:rPr>
              <w:rFonts w:asciiTheme="minorHAnsi" w:hAnsiTheme="minorHAnsi"/>
            </w:rPr>
            <w:t>)</w:t>
          </w:r>
        </w:p>
      </w:tc>
    </w:tr>
    <w:tr w:rsidR="001C5ECA" w:rsidRPr="00123992" w:rsidTr="003D3D1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8F5F42" w:rsidP="00AB2B97">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3" w:name="status_sf"/>
          <w:r w:rsidR="00907854">
            <w:rPr>
              <w:rFonts w:asciiTheme="minorHAnsi" w:hAnsiTheme="minorHAnsi"/>
              <w:sz w:val="20"/>
              <w:szCs w:val="20"/>
            </w:rPr>
            <w:t>gällande</w:t>
          </w:r>
          <w:bookmarkEnd w:id="3"/>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4" w:name="arkiverat_sf"/>
          <w:bookmarkEnd w:id="4"/>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3583"/>
      <w:gridCol w:w="1346"/>
    </w:tblGrid>
    <w:tr w:rsidR="00363F7D" w:rsidRPr="00123992" w:rsidTr="008F5F42">
      <w:tc>
        <w:tcPr>
          <w:tcW w:w="4361" w:type="dxa"/>
        </w:tcPr>
        <w:p w:rsidR="00363F7D" w:rsidRPr="00123992" w:rsidRDefault="00363F7D" w:rsidP="00C579D4">
          <w:pPr>
            <w:tabs>
              <w:tab w:val="left" w:pos="5010"/>
              <w:tab w:val="left" w:pos="6663"/>
            </w:tabs>
            <w:rPr>
              <w:rFonts w:asciiTheme="minorHAnsi" w:hAnsiTheme="minorHAnsi"/>
            </w:rPr>
          </w:pPr>
          <w:r w:rsidRPr="00123992">
            <w:rPr>
              <w:rFonts w:asciiTheme="minorHAnsi" w:hAnsiTheme="minorHAnsi"/>
              <w:noProof/>
            </w:rPr>
            <w:drawing>
              <wp:anchor distT="0" distB="0" distL="114300" distR="114300" simplePos="0" relativeHeight="251666432" behindDoc="0" locked="0" layoutInCell="1" allowOverlap="1">
                <wp:simplePos x="0" y="0"/>
                <wp:positionH relativeFrom="page">
                  <wp:posOffset>-261620</wp:posOffset>
                </wp:positionH>
                <wp:positionV relativeFrom="page">
                  <wp:posOffset>-149386</wp:posOffset>
                </wp:positionV>
                <wp:extent cx="3020365" cy="721217"/>
                <wp:effectExtent l="19050" t="0" r="8585" b="0"/>
                <wp:wrapNone/>
                <wp:docPr id="3" name="Bild 90" descr="KUS S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KUS SWE"/>
                        <pic:cNvPicPr>
                          <a:picLocks noChangeAspect="1" noChangeArrowheads="1"/>
                        </pic:cNvPicPr>
                      </pic:nvPicPr>
                      <pic:blipFill>
                        <a:blip r:embed="rId1"/>
                        <a:srcRect/>
                        <a:stretch>
                          <a:fillRect/>
                        </a:stretch>
                      </pic:blipFill>
                      <pic:spPr bwMode="auto">
                        <a:xfrm>
                          <a:off x="0" y="0"/>
                          <a:ext cx="3020365" cy="721217"/>
                        </a:xfrm>
                        <a:prstGeom prst="rect">
                          <a:avLst/>
                        </a:prstGeom>
                        <a:noFill/>
                        <a:ln w="9525">
                          <a:noFill/>
                          <a:miter lim="800000"/>
                          <a:headEnd/>
                          <a:tailEnd/>
                        </a:ln>
                      </pic:spPr>
                    </pic:pic>
                  </a:graphicData>
                </a:graphic>
              </wp:anchor>
            </w:drawing>
          </w:r>
        </w:p>
      </w:tc>
      <w:tc>
        <w:tcPr>
          <w:tcW w:w="3583" w:type="dxa"/>
        </w:tcPr>
        <w:p w:rsidR="003A5662" w:rsidRPr="00123992" w:rsidRDefault="00907854" w:rsidP="00773423">
          <w:pPr>
            <w:tabs>
              <w:tab w:val="left" w:pos="5010"/>
              <w:tab w:val="left" w:pos="6663"/>
            </w:tabs>
            <w:rPr>
              <w:rFonts w:asciiTheme="minorHAnsi" w:hAnsiTheme="minorHAnsi"/>
            </w:rPr>
          </w:pPr>
          <w:bookmarkStart w:id="12" w:name="Dokumenttyp"/>
          <w:r>
            <w:rPr>
              <w:rFonts w:asciiTheme="minorHAnsi" w:hAnsiTheme="minorHAnsi"/>
            </w:rPr>
            <w:t>Styrande lokalt dokument</w:t>
          </w:r>
          <w:bookmarkEnd w:id="12"/>
        </w:p>
      </w:tc>
      <w:tc>
        <w:tcPr>
          <w:tcW w:w="1346" w:type="dxa"/>
        </w:tcPr>
        <w:p w:rsidR="00363F7D" w:rsidRPr="00123992" w:rsidRDefault="001B662F"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E50156">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1F67B1">
            <w:rPr>
              <w:rFonts w:asciiTheme="minorHAnsi" w:hAnsiTheme="minorHAnsi"/>
              <w:noProof/>
            </w:rPr>
            <w:fldChar w:fldCharType="begin"/>
          </w:r>
          <w:r w:rsidR="001F67B1">
            <w:rPr>
              <w:rFonts w:asciiTheme="minorHAnsi" w:hAnsiTheme="minorHAnsi"/>
              <w:noProof/>
            </w:rPr>
            <w:instrText xml:space="preserve"> NUMPAGES  \* MERGEFORMAT </w:instrText>
          </w:r>
          <w:r w:rsidR="001F67B1">
            <w:rPr>
              <w:rFonts w:asciiTheme="minorHAnsi" w:hAnsiTheme="minorHAnsi"/>
              <w:noProof/>
            </w:rPr>
            <w:fldChar w:fldCharType="separate"/>
          </w:r>
          <w:r w:rsidR="00E50156" w:rsidRPr="00E50156">
            <w:rPr>
              <w:rFonts w:asciiTheme="minorHAnsi" w:hAnsiTheme="minorHAnsi"/>
              <w:noProof/>
            </w:rPr>
            <w:t>4</w:t>
          </w:r>
          <w:r w:rsidR="001F67B1">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8F5F42" w:rsidP="00AB2B97">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13" w:name="status"/>
          <w:r w:rsidR="00907854">
            <w:rPr>
              <w:rFonts w:asciiTheme="minorHAnsi" w:hAnsiTheme="minorHAnsi"/>
              <w:sz w:val="20"/>
              <w:szCs w:val="20"/>
            </w:rPr>
            <w:t>gällande</w:t>
          </w:r>
          <w:bookmarkEnd w:id="13"/>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4" w:name="arkiverat"/>
          <w:bookmarkEnd w:id="14"/>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76FC6"/>
    <w:multiLevelType w:val="hybridMultilevel"/>
    <w:tmpl w:val="FAEE38A8"/>
    <w:lvl w:ilvl="0" w:tplc="DC0E8236">
      <w:start w:val="1"/>
      <w:numFmt w:val="decimal"/>
      <w:lvlText w:val="%1."/>
      <w:lvlJc w:val="left"/>
      <w:pPr>
        <w:tabs>
          <w:tab w:val="num" w:pos="1665"/>
        </w:tabs>
        <w:ind w:left="1665" w:hanging="1305"/>
      </w:p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695C"/>
    <w:rsid w:val="00047E0F"/>
    <w:rsid w:val="00051851"/>
    <w:rsid w:val="00072F71"/>
    <w:rsid w:val="000756E3"/>
    <w:rsid w:val="00080A88"/>
    <w:rsid w:val="0008622C"/>
    <w:rsid w:val="00090B26"/>
    <w:rsid w:val="00097170"/>
    <w:rsid w:val="000A1094"/>
    <w:rsid w:val="000A6A10"/>
    <w:rsid w:val="000B17EC"/>
    <w:rsid w:val="000B4D3D"/>
    <w:rsid w:val="000C04C7"/>
    <w:rsid w:val="000D4E47"/>
    <w:rsid w:val="000E3AC9"/>
    <w:rsid w:val="000F3530"/>
    <w:rsid w:val="000F4D65"/>
    <w:rsid w:val="00100FDC"/>
    <w:rsid w:val="00101E13"/>
    <w:rsid w:val="001048F9"/>
    <w:rsid w:val="001101F1"/>
    <w:rsid w:val="00123992"/>
    <w:rsid w:val="001301CC"/>
    <w:rsid w:val="00131D42"/>
    <w:rsid w:val="001504AB"/>
    <w:rsid w:val="001516CD"/>
    <w:rsid w:val="00153AAE"/>
    <w:rsid w:val="00167279"/>
    <w:rsid w:val="00172D26"/>
    <w:rsid w:val="0017702B"/>
    <w:rsid w:val="00191D8A"/>
    <w:rsid w:val="0019376C"/>
    <w:rsid w:val="001A1351"/>
    <w:rsid w:val="001A7D4E"/>
    <w:rsid w:val="001B662F"/>
    <w:rsid w:val="001C1BBD"/>
    <w:rsid w:val="001C3913"/>
    <w:rsid w:val="001C5ECA"/>
    <w:rsid w:val="001C71C5"/>
    <w:rsid w:val="001D0E4E"/>
    <w:rsid w:val="001E2505"/>
    <w:rsid w:val="001E3111"/>
    <w:rsid w:val="001E6A21"/>
    <w:rsid w:val="001F232D"/>
    <w:rsid w:val="001F2B1C"/>
    <w:rsid w:val="001F67B1"/>
    <w:rsid w:val="002039FA"/>
    <w:rsid w:val="00233A25"/>
    <w:rsid w:val="00235B0D"/>
    <w:rsid w:val="00243715"/>
    <w:rsid w:val="002437F7"/>
    <w:rsid w:val="00273CD5"/>
    <w:rsid w:val="002769F1"/>
    <w:rsid w:val="00283E78"/>
    <w:rsid w:val="00295980"/>
    <w:rsid w:val="002B5E7E"/>
    <w:rsid w:val="002C1CF4"/>
    <w:rsid w:val="002C4C2A"/>
    <w:rsid w:val="002C4EDA"/>
    <w:rsid w:val="002C574A"/>
    <w:rsid w:val="002C57F8"/>
    <w:rsid w:val="002E51FF"/>
    <w:rsid w:val="002E7216"/>
    <w:rsid w:val="002F30D7"/>
    <w:rsid w:val="002F6D2D"/>
    <w:rsid w:val="00323C05"/>
    <w:rsid w:val="0033668A"/>
    <w:rsid w:val="003539AA"/>
    <w:rsid w:val="00356E00"/>
    <w:rsid w:val="00363503"/>
    <w:rsid w:val="00363F7D"/>
    <w:rsid w:val="00376CF2"/>
    <w:rsid w:val="003A4D99"/>
    <w:rsid w:val="003A5662"/>
    <w:rsid w:val="003B131D"/>
    <w:rsid w:val="003C230B"/>
    <w:rsid w:val="003C7DDC"/>
    <w:rsid w:val="003D3D1C"/>
    <w:rsid w:val="003E6C8A"/>
    <w:rsid w:val="003F5240"/>
    <w:rsid w:val="003F7062"/>
    <w:rsid w:val="004042DC"/>
    <w:rsid w:val="004056C6"/>
    <w:rsid w:val="00405774"/>
    <w:rsid w:val="00405E69"/>
    <w:rsid w:val="00407F90"/>
    <w:rsid w:val="004111D2"/>
    <w:rsid w:val="00447EBD"/>
    <w:rsid w:val="0045204F"/>
    <w:rsid w:val="00463852"/>
    <w:rsid w:val="00463CE9"/>
    <w:rsid w:val="004644A8"/>
    <w:rsid w:val="00467880"/>
    <w:rsid w:val="00473759"/>
    <w:rsid w:val="00474607"/>
    <w:rsid w:val="004C177B"/>
    <w:rsid w:val="004C5F7B"/>
    <w:rsid w:val="004C7B5D"/>
    <w:rsid w:val="004E0843"/>
    <w:rsid w:val="00502B3C"/>
    <w:rsid w:val="00505E91"/>
    <w:rsid w:val="00521D49"/>
    <w:rsid w:val="00522CC6"/>
    <w:rsid w:val="00523C5C"/>
    <w:rsid w:val="00523EAD"/>
    <w:rsid w:val="005253BF"/>
    <w:rsid w:val="005262F7"/>
    <w:rsid w:val="00533490"/>
    <w:rsid w:val="00535F33"/>
    <w:rsid w:val="00536E3C"/>
    <w:rsid w:val="00541FCA"/>
    <w:rsid w:val="0054288D"/>
    <w:rsid w:val="00543742"/>
    <w:rsid w:val="005647A8"/>
    <w:rsid w:val="00576479"/>
    <w:rsid w:val="00594B6A"/>
    <w:rsid w:val="005A75E6"/>
    <w:rsid w:val="005B04BF"/>
    <w:rsid w:val="005C1E82"/>
    <w:rsid w:val="005C2A6A"/>
    <w:rsid w:val="005C50FF"/>
    <w:rsid w:val="005C7CF9"/>
    <w:rsid w:val="00602275"/>
    <w:rsid w:val="00605C27"/>
    <w:rsid w:val="006138C1"/>
    <w:rsid w:val="00623CA8"/>
    <w:rsid w:val="00624F6F"/>
    <w:rsid w:val="006330C0"/>
    <w:rsid w:val="00650909"/>
    <w:rsid w:val="00660B14"/>
    <w:rsid w:val="00663476"/>
    <w:rsid w:val="0066413E"/>
    <w:rsid w:val="00664BFE"/>
    <w:rsid w:val="00664ED1"/>
    <w:rsid w:val="006658CE"/>
    <w:rsid w:val="00666B34"/>
    <w:rsid w:val="00677161"/>
    <w:rsid w:val="0068125E"/>
    <w:rsid w:val="006A552A"/>
    <w:rsid w:val="006B0204"/>
    <w:rsid w:val="006D2669"/>
    <w:rsid w:val="006D3EEA"/>
    <w:rsid w:val="006E318F"/>
    <w:rsid w:val="006E5CD4"/>
    <w:rsid w:val="00721549"/>
    <w:rsid w:val="00730505"/>
    <w:rsid w:val="007310E3"/>
    <w:rsid w:val="0073674B"/>
    <w:rsid w:val="00756427"/>
    <w:rsid w:val="00762575"/>
    <w:rsid w:val="0076688B"/>
    <w:rsid w:val="00773423"/>
    <w:rsid w:val="007825F9"/>
    <w:rsid w:val="00784D4F"/>
    <w:rsid w:val="00792109"/>
    <w:rsid w:val="007A3BEA"/>
    <w:rsid w:val="007A7CD8"/>
    <w:rsid w:val="007B1CC0"/>
    <w:rsid w:val="007B5C73"/>
    <w:rsid w:val="007C46E0"/>
    <w:rsid w:val="007C481A"/>
    <w:rsid w:val="007E041C"/>
    <w:rsid w:val="00820E06"/>
    <w:rsid w:val="0083084E"/>
    <w:rsid w:val="00841DD2"/>
    <w:rsid w:val="0084434C"/>
    <w:rsid w:val="00845EB8"/>
    <w:rsid w:val="0084675F"/>
    <w:rsid w:val="008765DF"/>
    <w:rsid w:val="00877AF7"/>
    <w:rsid w:val="00887EA3"/>
    <w:rsid w:val="00893D63"/>
    <w:rsid w:val="008956CE"/>
    <w:rsid w:val="008A147E"/>
    <w:rsid w:val="008A16F7"/>
    <w:rsid w:val="008A2E3D"/>
    <w:rsid w:val="008A6A48"/>
    <w:rsid w:val="008B2A3A"/>
    <w:rsid w:val="008B6CB0"/>
    <w:rsid w:val="008C2B03"/>
    <w:rsid w:val="008D0BDD"/>
    <w:rsid w:val="008D143D"/>
    <w:rsid w:val="008D5317"/>
    <w:rsid w:val="008E03CB"/>
    <w:rsid w:val="008E0DC9"/>
    <w:rsid w:val="008F5F42"/>
    <w:rsid w:val="00907854"/>
    <w:rsid w:val="00916076"/>
    <w:rsid w:val="00916924"/>
    <w:rsid w:val="00926A38"/>
    <w:rsid w:val="0092728F"/>
    <w:rsid w:val="00946C7B"/>
    <w:rsid w:val="00947A73"/>
    <w:rsid w:val="00964350"/>
    <w:rsid w:val="0097166F"/>
    <w:rsid w:val="009954D8"/>
    <w:rsid w:val="009959C1"/>
    <w:rsid w:val="009A0B7E"/>
    <w:rsid w:val="009C2F30"/>
    <w:rsid w:val="009D51B5"/>
    <w:rsid w:val="009E34D9"/>
    <w:rsid w:val="009E6815"/>
    <w:rsid w:val="009F03FB"/>
    <w:rsid w:val="00A056F2"/>
    <w:rsid w:val="00A1365F"/>
    <w:rsid w:val="00A201AA"/>
    <w:rsid w:val="00A50CC6"/>
    <w:rsid w:val="00A65E80"/>
    <w:rsid w:val="00A67932"/>
    <w:rsid w:val="00A80F9E"/>
    <w:rsid w:val="00A83DA6"/>
    <w:rsid w:val="00AB2B97"/>
    <w:rsid w:val="00AB7A31"/>
    <w:rsid w:val="00AD7B2E"/>
    <w:rsid w:val="00AE2C8C"/>
    <w:rsid w:val="00AF69EE"/>
    <w:rsid w:val="00B00F3E"/>
    <w:rsid w:val="00B2112E"/>
    <w:rsid w:val="00B21A7B"/>
    <w:rsid w:val="00B22B7D"/>
    <w:rsid w:val="00B237A2"/>
    <w:rsid w:val="00B24C48"/>
    <w:rsid w:val="00B32D2E"/>
    <w:rsid w:val="00B37363"/>
    <w:rsid w:val="00B46D94"/>
    <w:rsid w:val="00B5688E"/>
    <w:rsid w:val="00B7532A"/>
    <w:rsid w:val="00B81FC6"/>
    <w:rsid w:val="00B85E7F"/>
    <w:rsid w:val="00BA3DB1"/>
    <w:rsid w:val="00BA424D"/>
    <w:rsid w:val="00BB2D58"/>
    <w:rsid w:val="00BB74B1"/>
    <w:rsid w:val="00BC2905"/>
    <w:rsid w:val="00BD7647"/>
    <w:rsid w:val="00BF186B"/>
    <w:rsid w:val="00C11EF7"/>
    <w:rsid w:val="00C215F0"/>
    <w:rsid w:val="00C27304"/>
    <w:rsid w:val="00C56F18"/>
    <w:rsid w:val="00C579D4"/>
    <w:rsid w:val="00C712F5"/>
    <w:rsid w:val="00C90CCA"/>
    <w:rsid w:val="00C91C84"/>
    <w:rsid w:val="00CA6F8A"/>
    <w:rsid w:val="00CB116E"/>
    <w:rsid w:val="00CB341B"/>
    <w:rsid w:val="00CC3836"/>
    <w:rsid w:val="00CC4FA1"/>
    <w:rsid w:val="00CC73B9"/>
    <w:rsid w:val="00CD53DF"/>
    <w:rsid w:val="00CE6F56"/>
    <w:rsid w:val="00CF4644"/>
    <w:rsid w:val="00D20CF7"/>
    <w:rsid w:val="00D21D17"/>
    <w:rsid w:val="00D26994"/>
    <w:rsid w:val="00D270A5"/>
    <w:rsid w:val="00D3561B"/>
    <w:rsid w:val="00D50DA7"/>
    <w:rsid w:val="00D56B21"/>
    <w:rsid w:val="00D60013"/>
    <w:rsid w:val="00D67F3A"/>
    <w:rsid w:val="00D7790F"/>
    <w:rsid w:val="00D973CF"/>
    <w:rsid w:val="00DA4158"/>
    <w:rsid w:val="00DC7C6D"/>
    <w:rsid w:val="00DE3FAC"/>
    <w:rsid w:val="00DF3558"/>
    <w:rsid w:val="00DF3638"/>
    <w:rsid w:val="00E00F15"/>
    <w:rsid w:val="00E14AF9"/>
    <w:rsid w:val="00E169EE"/>
    <w:rsid w:val="00E21228"/>
    <w:rsid w:val="00E46C2B"/>
    <w:rsid w:val="00E50156"/>
    <w:rsid w:val="00E63120"/>
    <w:rsid w:val="00E644A5"/>
    <w:rsid w:val="00E64F96"/>
    <w:rsid w:val="00E7592E"/>
    <w:rsid w:val="00E94A0B"/>
    <w:rsid w:val="00EA6533"/>
    <w:rsid w:val="00EB626B"/>
    <w:rsid w:val="00EC6562"/>
    <w:rsid w:val="00EC6E22"/>
    <w:rsid w:val="00ED41EB"/>
    <w:rsid w:val="00ED6EC3"/>
    <w:rsid w:val="00EE5B69"/>
    <w:rsid w:val="00EE6DF8"/>
    <w:rsid w:val="00EF6425"/>
    <w:rsid w:val="00F0551D"/>
    <w:rsid w:val="00F055D4"/>
    <w:rsid w:val="00F11FD1"/>
    <w:rsid w:val="00F62AA2"/>
    <w:rsid w:val="00F74A70"/>
    <w:rsid w:val="00F93951"/>
    <w:rsid w:val="00FB4BA2"/>
    <w:rsid w:val="00FB7D90"/>
    <w:rsid w:val="00FE0EAF"/>
    <w:rsid w:val="00FE11D0"/>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country-region"/>
  <w:smartTagType w:namespaceuri="urn:schemas-microsoft-com:office:smarttags" w:name="place"/>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3353FD3F-ADB4-4286-97BC-4662FEF1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790213">
      <w:bodyDiv w:val="1"/>
      <w:marLeft w:val="0"/>
      <w:marRight w:val="0"/>
      <w:marTop w:val="0"/>
      <w:marBottom w:val="0"/>
      <w:divBdr>
        <w:top w:val="none" w:sz="0" w:space="0" w:color="auto"/>
        <w:left w:val="none" w:sz="0" w:space="0" w:color="auto"/>
        <w:bottom w:val="none" w:sz="0" w:space="0" w:color="auto"/>
        <w:right w:val="none" w:sz="0" w:space="0" w:color="auto"/>
      </w:divBdr>
    </w:div>
    <w:div w:id="156075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2556B-46FD-4886-805F-35FB0348D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19610B24.dotm</Template>
  <TotalTime>14</TotalTime>
  <Pages>5</Pages>
  <Words>1366</Words>
  <Characters>7243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 </dc:title>
  <dc:subject/>
  <dc:creator>Adam</dc:creator>
  <cp:keywords/>
  <dc:description>Freeducation 2005</dc:description>
  <cp:lastModifiedBy>Kristina Walfridsson</cp:lastModifiedBy>
  <cp:revision>60</cp:revision>
  <cp:lastPrinted>2005-03-23T12:04:00Z</cp:lastPrinted>
  <dcterms:created xsi:type="dcterms:W3CDTF">2011-06-17T11:27:00Z</dcterms:created>
  <dcterms:modified xsi:type="dcterms:W3CDTF">2020-05-27T14:05:00Z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724472</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