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232AFB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Anemi, ALB"/>
            </w:textInput>
          </w:ffData>
        </w:fldChar>
      </w:r>
      <w:r w:rsidR="00BA3DB1" w:rsidRPr="00BA3DB1">
        <w:instrText xml:space="preserve"> FORMTEXT </w:instrText>
      </w:r>
      <w:r w:rsidR="003A205C">
        <w:rPr>
          <w:lang w:val="en-US"/>
        </w:rPr>
      </w:r>
      <w:r>
        <w:rPr>
          <w:lang w:val="en-US"/>
        </w:rPr>
        <w:fldChar w:fldCharType="separate"/>
      </w:r>
      <w:r w:rsidR="003A205C" w:rsidRPr="003A205C">
        <w:t>Anemi, ALB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DF26E3" w:rsidRDefault="009D2946" w:rsidP="00730505"/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ORSAKEN KAN VARA: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􀂁 Nedsatt produktion av hemoglobin vid förvärvade bristtillstånd (järn, B12, </w:t>
      </w:r>
      <w:proofErr w:type="spellStart"/>
      <w:r w:rsidRPr="00A40B54">
        <w:rPr>
          <w:sz w:val="22"/>
          <w:szCs w:val="22"/>
        </w:rPr>
        <w:t>etc</w:t>
      </w:r>
      <w:proofErr w:type="spellEnd"/>
      <w:r w:rsidRPr="00A40B54">
        <w:rPr>
          <w:sz w:val="22"/>
          <w:szCs w:val="22"/>
        </w:rPr>
        <w:t xml:space="preserve"> ), medfödda </w:t>
      </w:r>
      <w:proofErr w:type="spellStart"/>
      <w:r w:rsidRPr="00A40B54">
        <w:rPr>
          <w:sz w:val="22"/>
          <w:szCs w:val="22"/>
        </w:rPr>
        <w:t>hemoglobinopatier</w:t>
      </w:r>
      <w:proofErr w:type="spellEnd"/>
      <w:r w:rsidRPr="00A40B54">
        <w:rPr>
          <w:sz w:val="22"/>
          <w:szCs w:val="22"/>
        </w:rPr>
        <w:t xml:space="preserve"> (</w:t>
      </w:r>
      <w:proofErr w:type="spellStart"/>
      <w:r w:rsidRPr="00A40B54">
        <w:rPr>
          <w:sz w:val="22"/>
          <w:szCs w:val="22"/>
        </w:rPr>
        <w:t>talassemi</w:t>
      </w:r>
      <w:proofErr w:type="spellEnd"/>
      <w:r w:rsidRPr="00A40B54">
        <w:rPr>
          <w:sz w:val="22"/>
          <w:szCs w:val="22"/>
        </w:rPr>
        <w:t xml:space="preserve">, </w:t>
      </w:r>
      <w:proofErr w:type="spellStart"/>
      <w:r w:rsidRPr="00A40B54">
        <w:rPr>
          <w:sz w:val="22"/>
          <w:szCs w:val="22"/>
        </w:rPr>
        <w:t>sicklecellsjukdom</w:t>
      </w:r>
      <w:proofErr w:type="spellEnd"/>
      <w:r w:rsidRPr="00A40B54">
        <w:rPr>
          <w:sz w:val="22"/>
          <w:szCs w:val="22"/>
        </w:rPr>
        <w:t xml:space="preserve">) eller vid  annan påverkan av </w:t>
      </w:r>
      <w:proofErr w:type="spellStart"/>
      <w:r w:rsidRPr="00A40B54">
        <w:rPr>
          <w:sz w:val="22"/>
          <w:szCs w:val="22"/>
        </w:rPr>
        <w:t>erytropoesen</w:t>
      </w:r>
      <w:proofErr w:type="spellEnd"/>
      <w:r w:rsidRPr="00A40B54">
        <w:rPr>
          <w:sz w:val="22"/>
          <w:szCs w:val="22"/>
        </w:rPr>
        <w:t xml:space="preserve"> (t.ex. infektion, kollagenos, njursvikt, benmärgssvikt etc.).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ind w:left="1304" w:hanging="1304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􀂁 Ökade förluster (vid t.ex. blödningar eller  </w:t>
      </w:r>
      <w:proofErr w:type="spellStart"/>
      <w:r w:rsidRPr="00A40B54">
        <w:rPr>
          <w:sz w:val="22"/>
          <w:szCs w:val="22"/>
        </w:rPr>
        <w:t>hemolys</w:t>
      </w:r>
      <w:proofErr w:type="spellEnd"/>
      <w:r w:rsidRPr="00A40B54">
        <w:rPr>
          <w:sz w:val="22"/>
          <w:szCs w:val="22"/>
        </w:rPr>
        <w:t>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Anemin är endast ett symptom och orsaken ska alltid utredas. Vid kronisk anemi anpassar sig patienten delvis och symptomen blir mindre uppenbara än vid en snabbt uppkommen anemi. 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ind w:left="1304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UTREDNING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Man försöker först fastställa om det rör sig om en nedsatt produktion (sänkta </w:t>
      </w:r>
      <w:proofErr w:type="spellStart"/>
      <w:r w:rsidRPr="00A40B54">
        <w:rPr>
          <w:sz w:val="22"/>
          <w:szCs w:val="22"/>
        </w:rPr>
        <w:t>reticulocyter</w:t>
      </w:r>
      <w:proofErr w:type="spellEnd"/>
      <w:r w:rsidRPr="00A40B54">
        <w:rPr>
          <w:sz w:val="22"/>
          <w:szCs w:val="22"/>
        </w:rPr>
        <w:t xml:space="preserve">) eller en ökad konsumtion/förlust (vanligen ökade </w:t>
      </w:r>
      <w:proofErr w:type="spellStart"/>
      <w:r w:rsidRPr="00A40B54">
        <w:rPr>
          <w:sz w:val="22"/>
          <w:szCs w:val="22"/>
        </w:rPr>
        <w:t>reticulocyter</w:t>
      </w:r>
      <w:proofErr w:type="spellEnd"/>
      <w:r w:rsidRPr="00A40B54">
        <w:rPr>
          <w:sz w:val="22"/>
          <w:szCs w:val="22"/>
        </w:rPr>
        <w:t xml:space="preserve"> inom några dygn efter debut). Differentialdiagnostiskt utgår man från anamnes och status (</w:t>
      </w:r>
      <w:proofErr w:type="spellStart"/>
      <w:r w:rsidRPr="00A40B54">
        <w:rPr>
          <w:sz w:val="22"/>
          <w:szCs w:val="22"/>
        </w:rPr>
        <w:t>t.ex</w:t>
      </w:r>
      <w:proofErr w:type="spellEnd"/>
      <w:r w:rsidRPr="00A40B54">
        <w:rPr>
          <w:sz w:val="22"/>
          <w:szCs w:val="22"/>
        </w:rPr>
        <w:t xml:space="preserve"> </w:t>
      </w:r>
      <w:proofErr w:type="spellStart"/>
      <w:r w:rsidRPr="00A40B54">
        <w:rPr>
          <w:sz w:val="22"/>
          <w:szCs w:val="22"/>
        </w:rPr>
        <w:t>ikterus</w:t>
      </w:r>
      <w:proofErr w:type="spellEnd"/>
      <w:r w:rsidRPr="00A40B54">
        <w:rPr>
          <w:sz w:val="22"/>
          <w:szCs w:val="22"/>
        </w:rPr>
        <w:t xml:space="preserve">, </w:t>
      </w:r>
      <w:proofErr w:type="spellStart"/>
      <w:r w:rsidRPr="00A40B54">
        <w:rPr>
          <w:sz w:val="22"/>
          <w:szCs w:val="22"/>
        </w:rPr>
        <w:t>splenomegali</w:t>
      </w:r>
      <w:proofErr w:type="spellEnd"/>
      <w:r w:rsidRPr="00A40B54">
        <w:rPr>
          <w:sz w:val="22"/>
          <w:szCs w:val="22"/>
        </w:rPr>
        <w:t xml:space="preserve">, blödningstecken). Vid bl.a. </w:t>
      </w:r>
      <w:proofErr w:type="spellStart"/>
      <w:r w:rsidRPr="00A40B54">
        <w:rPr>
          <w:sz w:val="22"/>
          <w:szCs w:val="22"/>
        </w:rPr>
        <w:t>hemolytiska</w:t>
      </w:r>
      <w:proofErr w:type="spellEnd"/>
      <w:r w:rsidRPr="00A40B54">
        <w:rPr>
          <w:sz w:val="22"/>
          <w:szCs w:val="22"/>
        </w:rPr>
        <w:t xml:space="preserve"> sjukdomar är anamnesen med hänsyn till hereditet/kön/etnicitet ofta till stor hjälp.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Man har i den inledande klassificeringen väsentlig hjälp av </w:t>
      </w:r>
      <w:proofErr w:type="spellStart"/>
      <w:r w:rsidRPr="00A40B54">
        <w:rPr>
          <w:sz w:val="22"/>
          <w:szCs w:val="22"/>
        </w:rPr>
        <w:t>lab-fynd</w:t>
      </w:r>
      <w:proofErr w:type="spellEnd"/>
      <w:r w:rsidRPr="00A40B54">
        <w:rPr>
          <w:sz w:val="22"/>
          <w:szCs w:val="22"/>
        </w:rPr>
        <w:t xml:space="preserve">, t ex MCV/MCH, </w:t>
      </w:r>
      <w:proofErr w:type="spellStart"/>
      <w:r w:rsidRPr="00A40B54">
        <w:rPr>
          <w:sz w:val="22"/>
          <w:szCs w:val="22"/>
        </w:rPr>
        <w:t>retikulocyter</w:t>
      </w:r>
      <w:proofErr w:type="spellEnd"/>
      <w:r w:rsidRPr="00A40B54">
        <w:rPr>
          <w:sz w:val="22"/>
          <w:szCs w:val="22"/>
        </w:rPr>
        <w:t xml:space="preserve"> och </w:t>
      </w:r>
      <w:proofErr w:type="spellStart"/>
      <w:r w:rsidRPr="00A40B54">
        <w:rPr>
          <w:sz w:val="22"/>
          <w:szCs w:val="22"/>
        </w:rPr>
        <w:t>bilirubin</w:t>
      </w:r>
      <w:proofErr w:type="spellEnd"/>
      <w:r w:rsidRPr="00A40B54">
        <w:rPr>
          <w:sz w:val="22"/>
          <w:szCs w:val="22"/>
        </w:rPr>
        <w:t>, DAT och övrig blodstatus (se nedan).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i/>
          <w:sz w:val="22"/>
          <w:szCs w:val="22"/>
        </w:rPr>
      </w:pPr>
      <w:r w:rsidRPr="00A40B54">
        <w:rPr>
          <w:i/>
          <w:sz w:val="22"/>
          <w:szCs w:val="22"/>
        </w:rPr>
        <w:t xml:space="preserve">Lämpliga </w:t>
      </w:r>
      <w:proofErr w:type="spellStart"/>
      <w:r w:rsidRPr="00A40B54">
        <w:rPr>
          <w:i/>
          <w:sz w:val="22"/>
          <w:szCs w:val="22"/>
        </w:rPr>
        <w:t>lab</w:t>
      </w:r>
      <w:proofErr w:type="spellEnd"/>
      <w:r w:rsidRPr="00A40B54">
        <w:rPr>
          <w:i/>
          <w:sz w:val="22"/>
          <w:szCs w:val="22"/>
        </w:rPr>
        <w:t xml:space="preserve"> prover initialt: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Hb, EVF, MCV, MCH, </w:t>
      </w:r>
      <w:proofErr w:type="spellStart"/>
      <w:r w:rsidRPr="00A40B54">
        <w:rPr>
          <w:sz w:val="22"/>
          <w:szCs w:val="22"/>
        </w:rPr>
        <w:t>retikulocyter</w:t>
      </w:r>
      <w:proofErr w:type="spellEnd"/>
      <w:r w:rsidRPr="00A40B54">
        <w:rPr>
          <w:sz w:val="22"/>
          <w:szCs w:val="22"/>
        </w:rPr>
        <w:t>, LPK med B-celler ("</w:t>
      </w:r>
      <w:proofErr w:type="spellStart"/>
      <w:r w:rsidRPr="00A40B54">
        <w:rPr>
          <w:sz w:val="22"/>
          <w:szCs w:val="22"/>
        </w:rPr>
        <w:t>diff</w:t>
      </w:r>
      <w:proofErr w:type="spellEnd"/>
      <w:r w:rsidRPr="00A40B54">
        <w:rPr>
          <w:sz w:val="22"/>
          <w:szCs w:val="22"/>
        </w:rPr>
        <w:t xml:space="preserve">"), TPK, </w:t>
      </w:r>
      <w:proofErr w:type="spellStart"/>
      <w:r w:rsidRPr="00A40B54">
        <w:rPr>
          <w:sz w:val="22"/>
          <w:szCs w:val="22"/>
        </w:rPr>
        <w:t>S-Ferritin</w:t>
      </w:r>
      <w:proofErr w:type="spellEnd"/>
      <w:r w:rsidRPr="00A40B54">
        <w:rPr>
          <w:sz w:val="22"/>
          <w:szCs w:val="22"/>
        </w:rPr>
        <w:t xml:space="preserve">, </w:t>
      </w:r>
      <w:proofErr w:type="spellStart"/>
      <w:r w:rsidRPr="00A40B54">
        <w:rPr>
          <w:sz w:val="22"/>
          <w:szCs w:val="22"/>
        </w:rPr>
        <w:t>S-Fe</w:t>
      </w:r>
      <w:proofErr w:type="spellEnd"/>
      <w:r w:rsidRPr="00A40B54">
        <w:rPr>
          <w:sz w:val="22"/>
          <w:szCs w:val="22"/>
        </w:rPr>
        <w:t xml:space="preserve">, </w:t>
      </w:r>
      <w:proofErr w:type="spellStart"/>
      <w:r w:rsidRPr="00A40B54">
        <w:rPr>
          <w:sz w:val="22"/>
          <w:szCs w:val="22"/>
        </w:rPr>
        <w:t>bilirubin</w:t>
      </w:r>
      <w:proofErr w:type="spellEnd"/>
      <w:r w:rsidRPr="00A40B54">
        <w:rPr>
          <w:sz w:val="22"/>
          <w:szCs w:val="22"/>
        </w:rPr>
        <w:t xml:space="preserve">, </w:t>
      </w:r>
      <w:proofErr w:type="spellStart"/>
      <w:r w:rsidRPr="00A40B54">
        <w:rPr>
          <w:sz w:val="22"/>
          <w:szCs w:val="22"/>
        </w:rPr>
        <w:t>kreatinin</w:t>
      </w:r>
      <w:proofErr w:type="spellEnd"/>
      <w:r w:rsidRPr="00A40B54">
        <w:rPr>
          <w:sz w:val="22"/>
          <w:szCs w:val="22"/>
        </w:rPr>
        <w:t xml:space="preserve">. Lämpligt skicka blodutstryk för morfologisk bedömning till </w:t>
      </w:r>
      <w:proofErr w:type="spellStart"/>
      <w:r w:rsidRPr="00A40B54">
        <w:rPr>
          <w:sz w:val="22"/>
          <w:szCs w:val="22"/>
        </w:rPr>
        <w:t>hematopatolog</w:t>
      </w:r>
      <w:proofErr w:type="spellEnd"/>
      <w:r w:rsidRPr="00A40B54">
        <w:rPr>
          <w:sz w:val="22"/>
          <w:szCs w:val="22"/>
        </w:rPr>
        <w:t xml:space="preserve">. Vid </w:t>
      </w:r>
      <w:proofErr w:type="spellStart"/>
      <w:r w:rsidRPr="00A40B54">
        <w:rPr>
          <w:sz w:val="22"/>
          <w:szCs w:val="22"/>
        </w:rPr>
        <w:t>hemolysmisstanke</w:t>
      </w:r>
      <w:proofErr w:type="spellEnd"/>
      <w:r w:rsidRPr="00A40B54">
        <w:rPr>
          <w:sz w:val="22"/>
          <w:szCs w:val="22"/>
        </w:rPr>
        <w:t xml:space="preserve"> alltid DAT. Vid grav anemi blodgruppering.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FÖRENKLAT DIAGNOSTISKT SYNSÄTT (utgående från MCV)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A40B54">
        <w:rPr>
          <w:sz w:val="22"/>
          <w:szCs w:val="22"/>
        </w:rPr>
        <w:t>Mikrocytär</w:t>
      </w:r>
      <w:proofErr w:type="spellEnd"/>
      <w:r w:rsidRPr="00A40B54">
        <w:rPr>
          <w:sz w:val="22"/>
          <w:szCs w:val="22"/>
        </w:rPr>
        <w:t xml:space="preserve"> anemi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􀂁</w:t>
      </w:r>
      <w:r w:rsidRPr="00A40B54">
        <w:rPr>
          <w:sz w:val="22"/>
          <w:szCs w:val="22"/>
        </w:rPr>
        <w:tab/>
        <w:t xml:space="preserve"> Järnbrist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􀂁</w:t>
      </w:r>
      <w:r w:rsidRPr="00A40B54">
        <w:rPr>
          <w:sz w:val="22"/>
          <w:szCs w:val="22"/>
        </w:rPr>
        <w:tab/>
        <w:t xml:space="preserve"> </w:t>
      </w:r>
      <w:proofErr w:type="spellStart"/>
      <w:r w:rsidRPr="00A40B54">
        <w:rPr>
          <w:sz w:val="22"/>
          <w:szCs w:val="22"/>
        </w:rPr>
        <w:t>Thalassemi</w:t>
      </w:r>
      <w:proofErr w:type="spellEnd"/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􀂁 </w:t>
      </w:r>
      <w:r w:rsidRPr="00A40B54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A40B54">
        <w:rPr>
          <w:sz w:val="22"/>
          <w:szCs w:val="22"/>
        </w:rPr>
        <w:t>Kronisk inflammation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A40B54">
        <w:rPr>
          <w:sz w:val="22"/>
          <w:szCs w:val="22"/>
        </w:rPr>
        <w:t>Makrocytär</w:t>
      </w:r>
      <w:proofErr w:type="spellEnd"/>
      <w:r w:rsidRPr="00A40B54">
        <w:rPr>
          <w:sz w:val="22"/>
          <w:szCs w:val="22"/>
        </w:rPr>
        <w:t xml:space="preserve"> anemi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􀂁 </w:t>
      </w:r>
      <w:r w:rsidRPr="00A40B54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A40B54">
        <w:rPr>
          <w:sz w:val="22"/>
          <w:szCs w:val="22"/>
        </w:rPr>
        <w:t>B12/folat brist (ovanligt hos barn)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􀂁 </w:t>
      </w:r>
      <w:r w:rsidRPr="00A40B54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A40B54">
        <w:rPr>
          <w:sz w:val="22"/>
          <w:szCs w:val="22"/>
        </w:rPr>
        <w:t xml:space="preserve">Defekt produktion (ex </w:t>
      </w:r>
      <w:proofErr w:type="spellStart"/>
      <w:r w:rsidRPr="00A40B54">
        <w:rPr>
          <w:sz w:val="22"/>
          <w:szCs w:val="22"/>
        </w:rPr>
        <w:t>aplastisk</w:t>
      </w:r>
      <w:proofErr w:type="spellEnd"/>
      <w:r w:rsidRPr="00A40B54">
        <w:rPr>
          <w:sz w:val="22"/>
          <w:szCs w:val="22"/>
        </w:rPr>
        <w:t xml:space="preserve"> anemi, </w:t>
      </w:r>
      <w:r>
        <w:rPr>
          <w:sz w:val="22"/>
          <w:szCs w:val="22"/>
        </w:rPr>
        <w:t xml:space="preserve">MDS, </w:t>
      </w:r>
      <w:bookmarkStart w:id="1" w:name="_GoBack"/>
      <w:bookmarkEnd w:id="1"/>
      <w:proofErr w:type="spellStart"/>
      <w:r w:rsidRPr="00A40B54">
        <w:rPr>
          <w:sz w:val="22"/>
          <w:szCs w:val="22"/>
        </w:rPr>
        <w:t>Blackfan-Diamond</w:t>
      </w:r>
      <w:proofErr w:type="spellEnd"/>
      <w:r w:rsidRPr="00A40B54">
        <w:rPr>
          <w:sz w:val="22"/>
          <w:szCs w:val="22"/>
        </w:rPr>
        <w:t>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A40B54">
        <w:rPr>
          <w:sz w:val="22"/>
          <w:szCs w:val="22"/>
        </w:rPr>
        <w:t>Normocytär</w:t>
      </w:r>
      <w:proofErr w:type="spellEnd"/>
      <w:r w:rsidRPr="00A40B54">
        <w:rPr>
          <w:sz w:val="22"/>
          <w:szCs w:val="22"/>
        </w:rPr>
        <w:t xml:space="preserve"> anemi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􀂁 </w:t>
      </w:r>
      <w:r w:rsidRPr="00A40B54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A40B54">
        <w:rPr>
          <w:sz w:val="22"/>
          <w:szCs w:val="22"/>
        </w:rPr>
        <w:t>Blödning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􀂁 </w:t>
      </w:r>
      <w:r w:rsidRPr="00A40B54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proofErr w:type="spellStart"/>
      <w:r w:rsidRPr="00A40B54">
        <w:rPr>
          <w:sz w:val="22"/>
          <w:szCs w:val="22"/>
        </w:rPr>
        <w:t>Hemolys</w:t>
      </w:r>
      <w:proofErr w:type="spellEnd"/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sz w:val="22"/>
          <w:szCs w:val="22"/>
        </w:rPr>
      </w:pPr>
      <w:r w:rsidRPr="00A40B54">
        <w:rPr>
          <w:bCs/>
          <w:sz w:val="22"/>
          <w:szCs w:val="22"/>
        </w:rPr>
        <w:lastRenderedPageBreak/>
        <w:t>FYSIOLOGISK KLASSIFIKATION/VANLIGARE DIFFERENTIALDIAGNOSER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sz w:val="22"/>
          <w:szCs w:val="22"/>
        </w:rPr>
      </w:pPr>
      <w:r w:rsidRPr="00A40B54">
        <w:rPr>
          <w:bCs/>
          <w:sz w:val="22"/>
          <w:szCs w:val="22"/>
        </w:rPr>
        <w:t xml:space="preserve">A. Minskad bildning av röda blodkroppar (vanligtvis lågt antal </w:t>
      </w:r>
      <w:proofErr w:type="spellStart"/>
      <w:r w:rsidRPr="00A40B54">
        <w:rPr>
          <w:bCs/>
          <w:sz w:val="22"/>
          <w:szCs w:val="22"/>
        </w:rPr>
        <w:t>retikulocyter</w:t>
      </w:r>
      <w:proofErr w:type="spellEnd"/>
      <w:r w:rsidRPr="00A40B54">
        <w:rPr>
          <w:bCs/>
          <w:sz w:val="22"/>
          <w:szCs w:val="22"/>
        </w:rPr>
        <w:t>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i/>
          <w:sz w:val="22"/>
          <w:szCs w:val="22"/>
        </w:rPr>
        <w:t xml:space="preserve">Benmärgshämning med </w:t>
      </w:r>
      <w:proofErr w:type="spellStart"/>
      <w:r w:rsidRPr="00A40B54">
        <w:rPr>
          <w:i/>
          <w:sz w:val="22"/>
          <w:szCs w:val="22"/>
        </w:rPr>
        <w:t>pancytopeni</w:t>
      </w:r>
      <w:proofErr w:type="spellEnd"/>
      <w:r w:rsidRPr="00A40B54">
        <w:rPr>
          <w:sz w:val="22"/>
          <w:szCs w:val="22"/>
        </w:rPr>
        <w:t>: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proofErr w:type="spellStart"/>
      <w:r w:rsidRPr="00A40B54">
        <w:rPr>
          <w:sz w:val="22"/>
          <w:szCs w:val="22"/>
        </w:rPr>
        <w:t>aplastisk</w:t>
      </w:r>
      <w:proofErr w:type="spellEnd"/>
      <w:r w:rsidRPr="00A40B54">
        <w:rPr>
          <w:sz w:val="22"/>
          <w:szCs w:val="22"/>
        </w:rPr>
        <w:t xml:space="preserve"> anemi, förvärvad eller medfödd (</w:t>
      </w:r>
      <w:proofErr w:type="spellStart"/>
      <w:r w:rsidRPr="00A40B54">
        <w:rPr>
          <w:sz w:val="22"/>
          <w:szCs w:val="22"/>
        </w:rPr>
        <w:t>Fanconi</w:t>
      </w:r>
      <w:proofErr w:type="spellEnd"/>
      <w:r w:rsidRPr="00A40B54">
        <w:rPr>
          <w:sz w:val="22"/>
          <w:szCs w:val="22"/>
        </w:rPr>
        <w:t xml:space="preserve">) (i regel </w:t>
      </w:r>
      <w:proofErr w:type="spellStart"/>
      <w:r w:rsidRPr="00A40B54">
        <w:rPr>
          <w:sz w:val="22"/>
          <w:szCs w:val="22"/>
        </w:rPr>
        <w:t>pancytopeni</w:t>
      </w:r>
      <w:proofErr w:type="spellEnd"/>
      <w:r w:rsidRPr="00A40B54">
        <w:rPr>
          <w:sz w:val="22"/>
          <w:szCs w:val="22"/>
        </w:rPr>
        <w:t>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proofErr w:type="spellStart"/>
      <w:r w:rsidRPr="00A40B54">
        <w:rPr>
          <w:sz w:val="22"/>
          <w:szCs w:val="22"/>
        </w:rPr>
        <w:t>maligniteter</w:t>
      </w:r>
      <w:proofErr w:type="spellEnd"/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 </w:t>
      </w:r>
      <w:r w:rsidRPr="00A40B54">
        <w:rPr>
          <w:i/>
          <w:sz w:val="22"/>
          <w:szCs w:val="22"/>
        </w:rPr>
        <w:t xml:space="preserve">Med i första hand nedsatt </w:t>
      </w:r>
      <w:proofErr w:type="spellStart"/>
      <w:r w:rsidRPr="00A40B54">
        <w:rPr>
          <w:i/>
          <w:sz w:val="22"/>
          <w:szCs w:val="22"/>
        </w:rPr>
        <w:t>erytropoes</w:t>
      </w:r>
      <w:proofErr w:type="spellEnd"/>
      <w:r w:rsidRPr="00A40B54">
        <w:rPr>
          <w:sz w:val="22"/>
          <w:szCs w:val="22"/>
        </w:rPr>
        <w:t xml:space="preserve"> : 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>kongenital (</w:t>
      </w:r>
      <w:proofErr w:type="spellStart"/>
      <w:r w:rsidRPr="00A40B54">
        <w:rPr>
          <w:sz w:val="22"/>
          <w:szCs w:val="22"/>
        </w:rPr>
        <w:t>Blackfan-Diamond</w:t>
      </w:r>
      <w:proofErr w:type="spellEnd"/>
      <w:r w:rsidRPr="00A40B54">
        <w:rPr>
          <w:sz w:val="22"/>
          <w:szCs w:val="22"/>
        </w:rPr>
        <w:t xml:space="preserve"> syndrom; ofta &lt; 9 mån) 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>förvärvad (</w:t>
      </w:r>
      <w:proofErr w:type="spellStart"/>
      <w:r w:rsidRPr="00A40B54">
        <w:rPr>
          <w:sz w:val="22"/>
          <w:szCs w:val="22"/>
        </w:rPr>
        <w:t>transient</w:t>
      </w:r>
      <w:proofErr w:type="spellEnd"/>
      <w:r w:rsidRPr="00A40B54">
        <w:rPr>
          <w:sz w:val="22"/>
          <w:szCs w:val="22"/>
        </w:rPr>
        <w:t xml:space="preserve"> </w:t>
      </w:r>
      <w:proofErr w:type="spellStart"/>
      <w:r w:rsidRPr="00A40B54">
        <w:rPr>
          <w:sz w:val="22"/>
          <w:szCs w:val="22"/>
        </w:rPr>
        <w:t>erythroblastopenia</w:t>
      </w:r>
      <w:proofErr w:type="spellEnd"/>
      <w:r w:rsidRPr="00A40B54">
        <w:rPr>
          <w:sz w:val="22"/>
          <w:szCs w:val="22"/>
        </w:rPr>
        <w:t xml:space="preserve"> of </w:t>
      </w:r>
      <w:proofErr w:type="spellStart"/>
      <w:r w:rsidRPr="00A40B54">
        <w:rPr>
          <w:sz w:val="22"/>
          <w:szCs w:val="22"/>
        </w:rPr>
        <w:t>childhood</w:t>
      </w:r>
      <w:proofErr w:type="spellEnd"/>
      <w:r w:rsidRPr="00A40B54">
        <w:rPr>
          <w:sz w:val="22"/>
          <w:szCs w:val="22"/>
        </w:rPr>
        <w:t xml:space="preserve">, TEC; ofta &gt; 9 mån 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-  </w:t>
      </w:r>
      <w:proofErr w:type="spellStart"/>
      <w:r w:rsidRPr="00A40B54">
        <w:rPr>
          <w:sz w:val="22"/>
          <w:szCs w:val="22"/>
        </w:rPr>
        <w:t>parvovirusinfektion</w:t>
      </w:r>
      <w:proofErr w:type="spellEnd"/>
      <w:r w:rsidRPr="00A40B54">
        <w:rPr>
          <w:sz w:val="22"/>
          <w:szCs w:val="22"/>
        </w:rPr>
        <w:t xml:space="preserve"> m.fl. infektioner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i/>
          <w:sz w:val="22"/>
          <w:szCs w:val="22"/>
        </w:rPr>
      </w:pPr>
      <w:r w:rsidRPr="00A40B54">
        <w:rPr>
          <w:i/>
          <w:sz w:val="22"/>
          <w:szCs w:val="22"/>
        </w:rPr>
        <w:t xml:space="preserve">Minskad </w:t>
      </w:r>
      <w:proofErr w:type="spellStart"/>
      <w:r w:rsidRPr="00A40B54">
        <w:rPr>
          <w:i/>
          <w:sz w:val="22"/>
          <w:szCs w:val="22"/>
        </w:rPr>
        <w:t>erytropoetin-bildning</w:t>
      </w:r>
      <w:proofErr w:type="spellEnd"/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>Kronisk njursjukdom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>Kronisk inflammation (ex reumatisk sjukdom)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sz w:val="22"/>
          <w:szCs w:val="22"/>
        </w:rPr>
      </w:pPr>
      <w:r w:rsidRPr="00A40B54">
        <w:rPr>
          <w:bCs/>
          <w:sz w:val="22"/>
          <w:szCs w:val="22"/>
        </w:rPr>
        <w:t xml:space="preserve">B. Ineffektiv </w:t>
      </w:r>
      <w:proofErr w:type="spellStart"/>
      <w:r w:rsidRPr="00A40B54">
        <w:rPr>
          <w:bCs/>
          <w:sz w:val="22"/>
          <w:szCs w:val="22"/>
        </w:rPr>
        <w:t>erythropoes/utmognad</w:t>
      </w:r>
      <w:proofErr w:type="spellEnd"/>
      <w:r w:rsidRPr="00A40B54">
        <w:rPr>
          <w:bCs/>
          <w:sz w:val="22"/>
          <w:szCs w:val="22"/>
        </w:rPr>
        <w:t xml:space="preserve"> (</w:t>
      </w:r>
      <w:proofErr w:type="spellStart"/>
      <w:r w:rsidRPr="00A40B54">
        <w:rPr>
          <w:bCs/>
          <w:sz w:val="22"/>
          <w:szCs w:val="22"/>
        </w:rPr>
        <w:t>retikulocyter</w:t>
      </w:r>
      <w:proofErr w:type="spellEnd"/>
      <w:r w:rsidRPr="00A40B54">
        <w:rPr>
          <w:bCs/>
          <w:sz w:val="22"/>
          <w:szCs w:val="22"/>
        </w:rPr>
        <w:t xml:space="preserve"> sänkta/normala)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 xml:space="preserve">Järnbrist (MCV och MCH lågt, </w:t>
      </w:r>
      <w:proofErr w:type="spellStart"/>
      <w:r w:rsidRPr="00A40B54">
        <w:rPr>
          <w:sz w:val="22"/>
          <w:szCs w:val="22"/>
        </w:rPr>
        <w:t>S-ferritin</w:t>
      </w:r>
      <w:proofErr w:type="spellEnd"/>
      <w:r w:rsidRPr="00A40B54">
        <w:rPr>
          <w:sz w:val="22"/>
          <w:szCs w:val="22"/>
        </w:rPr>
        <w:t xml:space="preserve"> lågt)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proofErr w:type="spellStart"/>
      <w:r w:rsidRPr="00A40B54">
        <w:rPr>
          <w:sz w:val="22"/>
          <w:szCs w:val="22"/>
        </w:rPr>
        <w:t>Talassemi</w:t>
      </w:r>
      <w:proofErr w:type="spellEnd"/>
      <w:r w:rsidRPr="00A40B54">
        <w:rPr>
          <w:sz w:val="22"/>
          <w:szCs w:val="22"/>
        </w:rPr>
        <w:t xml:space="preserve"> (MCV och MCH lågt, </w:t>
      </w:r>
      <w:proofErr w:type="spellStart"/>
      <w:r w:rsidRPr="00A40B54">
        <w:rPr>
          <w:sz w:val="22"/>
          <w:szCs w:val="22"/>
        </w:rPr>
        <w:t>targetceller</w:t>
      </w:r>
      <w:proofErr w:type="spellEnd"/>
      <w:r w:rsidRPr="00A40B54">
        <w:rPr>
          <w:sz w:val="22"/>
          <w:szCs w:val="22"/>
        </w:rPr>
        <w:t xml:space="preserve"> på </w:t>
      </w:r>
      <w:proofErr w:type="spellStart"/>
      <w:r w:rsidRPr="00A40B54">
        <w:rPr>
          <w:sz w:val="22"/>
          <w:szCs w:val="22"/>
        </w:rPr>
        <w:t>diff</w:t>
      </w:r>
      <w:proofErr w:type="spellEnd"/>
      <w:r w:rsidRPr="00A40B54">
        <w:rPr>
          <w:sz w:val="22"/>
          <w:szCs w:val="22"/>
        </w:rPr>
        <w:t>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proofErr w:type="spellStart"/>
      <w:r w:rsidRPr="00A40B54">
        <w:rPr>
          <w:sz w:val="22"/>
          <w:szCs w:val="22"/>
        </w:rPr>
        <w:t>Folsyra/Vitamin</w:t>
      </w:r>
      <w:proofErr w:type="spellEnd"/>
      <w:r w:rsidRPr="00A40B54">
        <w:rPr>
          <w:sz w:val="22"/>
          <w:szCs w:val="22"/>
        </w:rPr>
        <w:t xml:space="preserve"> B12 brist (MCV högt)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sz w:val="22"/>
          <w:szCs w:val="22"/>
        </w:rPr>
      </w:pPr>
      <w:r w:rsidRPr="00A40B54">
        <w:rPr>
          <w:bCs/>
          <w:sz w:val="22"/>
          <w:szCs w:val="22"/>
        </w:rPr>
        <w:t xml:space="preserve">C. Ökade förluster  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Blödningar (ökade </w:t>
      </w:r>
      <w:proofErr w:type="spellStart"/>
      <w:r w:rsidRPr="00A40B54">
        <w:rPr>
          <w:sz w:val="22"/>
          <w:szCs w:val="22"/>
        </w:rPr>
        <w:t>reticulocyter</w:t>
      </w:r>
      <w:proofErr w:type="spellEnd"/>
      <w:r w:rsidRPr="00A40B54">
        <w:rPr>
          <w:sz w:val="22"/>
          <w:szCs w:val="22"/>
        </w:rPr>
        <w:t xml:space="preserve">, normalt </w:t>
      </w:r>
      <w:proofErr w:type="spellStart"/>
      <w:r w:rsidRPr="00A40B54">
        <w:rPr>
          <w:sz w:val="22"/>
          <w:szCs w:val="22"/>
        </w:rPr>
        <w:t>bilirubin</w:t>
      </w:r>
      <w:proofErr w:type="spellEnd"/>
      <w:r w:rsidRPr="00A40B54">
        <w:rPr>
          <w:sz w:val="22"/>
          <w:szCs w:val="22"/>
        </w:rPr>
        <w:t xml:space="preserve">) </w:t>
      </w:r>
      <w:proofErr w:type="spellStart"/>
      <w:r w:rsidRPr="00A40B54">
        <w:rPr>
          <w:sz w:val="22"/>
          <w:szCs w:val="22"/>
        </w:rPr>
        <w:t>pga</w:t>
      </w:r>
      <w:proofErr w:type="spellEnd"/>
      <w:r w:rsidRPr="00A40B54">
        <w:rPr>
          <w:sz w:val="22"/>
          <w:szCs w:val="22"/>
        </w:rPr>
        <w:t xml:space="preserve"> stora menstruationer, näsblod, magtarmblödningar såsom </w:t>
      </w:r>
      <w:proofErr w:type="spellStart"/>
      <w:r w:rsidRPr="00A40B54">
        <w:rPr>
          <w:sz w:val="22"/>
          <w:szCs w:val="22"/>
        </w:rPr>
        <w:t>Meckels</w:t>
      </w:r>
      <w:proofErr w:type="spellEnd"/>
      <w:r w:rsidRPr="00A40B54">
        <w:rPr>
          <w:sz w:val="22"/>
          <w:szCs w:val="22"/>
        </w:rPr>
        <w:t xml:space="preserve"> </w:t>
      </w:r>
      <w:proofErr w:type="spellStart"/>
      <w:r w:rsidRPr="00A40B54">
        <w:rPr>
          <w:sz w:val="22"/>
          <w:szCs w:val="22"/>
        </w:rPr>
        <w:t>divertikel</w:t>
      </w:r>
      <w:proofErr w:type="spellEnd"/>
      <w:r w:rsidRPr="00A40B54">
        <w:rPr>
          <w:sz w:val="22"/>
          <w:szCs w:val="22"/>
        </w:rPr>
        <w:t xml:space="preserve">, </w:t>
      </w:r>
      <w:proofErr w:type="spellStart"/>
      <w:r w:rsidRPr="00A40B54">
        <w:rPr>
          <w:sz w:val="22"/>
          <w:szCs w:val="22"/>
        </w:rPr>
        <w:t>reflux</w:t>
      </w:r>
      <w:proofErr w:type="spellEnd"/>
      <w:r w:rsidRPr="00A40B54">
        <w:rPr>
          <w:sz w:val="22"/>
          <w:szCs w:val="22"/>
        </w:rPr>
        <w:t xml:space="preserve">, polyper, komjölksintolerans, Mb </w:t>
      </w:r>
      <w:proofErr w:type="spellStart"/>
      <w:r w:rsidRPr="00A40B54">
        <w:rPr>
          <w:sz w:val="22"/>
          <w:szCs w:val="22"/>
        </w:rPr>
        <w:t>Crohn/ulcerös</w:t>
      </w:r>
      <w:proofErr w:type="spellEnd"/>
      <w:r w:rsidRPr="00A40B54">
        <w:rPr>
          <w:sz w:val="22"/>
          <w:szCs w:val="22"/>
        </w:rPr>
        <w:t xml:space="preserve"> </w:t>
      </w:r>
      <w:proofErr w:type="spellStart"/>
      <w:r w:rsidRPr="00A40B54">
        <w:rPr>
          <w:sz w:val="22"/>
          <w:szCs w:val="22"/>
        </w:rPr>
        <w:t>colit</w:t>
      </w:r>
      <w:proofErr w:type="spellEnd"/>
      <w:r w:rsidRPr="00A40B54">
        <w:rPr>
          <w:sz w:val="22"/>
          <w:szCs w:val="22"/>
        </w:rPr>
        <w:t xml:space="preserve"> . Tät blodprovstagning på nyfödda.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A40B54">
        <w:rPr>
          <w:sz w:val="22"/>
          <w:szCs w:val="22"/>
        </w:rPr>
        <w:t>Hemolytiska</w:t>
      </w:r>
      <w:proofErr w:type="spellEnd"/>
      <w:r w:rsidRPr="00A40B54">
        <w:rPr>
          <w:sz w:val="22"/>
          <w:szCs w:val="22"/>
        </w:rPr>
        <w:t xml:space="preserve"> anemier</w:t>
      </w:r>
      <w:r w:rsidRPr="00A40B54">
        <w:rPr>
          <w:b/>
          <w:sz w:val="22"/>
          <w:szCs w:val="22"/>
        </w:rPr>
        <w:t xml:space="preserve"> </w:t>
      </w:r>
      <w:r w:rsidRPr="00A40B54">
        <w:rPr>
          <w:sz w:val="22"/>
          <w:szCs w:val="22"/>
        </w:rPr>
        <w:t xml:space="preserve">(ökade </w:t>
      </w:r>
      <w:proofErr w:type="spellStart"/>
      <w:r w:rsidRPr="00A40B54">
        <w:rPr>
          <w:sz w:val="22"/>
          <w:szCs w:val="22"/>
        </w:rPr>
        <w:t>reticulocyter</w:t>
      </w:r>
      <w:proofErr w:type="spellEnd"/>
      <w:r w:rsidRPr="00A40B54">
        <w:rPr>
          <w:sz w:val="22"/>
          <w:szCs w:val="22"/>
        </w:rPr>
        <w:t xml:space="preserve"> och </w:t>
      </w:r>
      <w:proofErr w:type="spellStart"/>
      <w:r w:rsidRPr="00A40B54">
        <w:rPr>
          <w:sz w:val="22"/>
          <w:szCs w:val="22"/>
        </w:rPr>
        <w:t>bilirubin</w:t>
      </w:r>
      <w:proofErr w:type="spellEnd"/>
      <w:r w:rsidRPr="00A40B54">
        <w:rPr>
          <w:sz w:val="22"/>
          <w:szCs w:val="22"/>
        </w:rPr>
        <w:t>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 xml:space="preserve">Membrandefekter, t ex hereditär </w:t>
      </w:r>
      <w:proofErr w:type="spellStart"/>
      <w:r w:rsidRPr="00A40B54">
        <w:rPr>
          <w:sz w:val="22"/>
          <w:szCs w:val="22"/>
        </w:rPr>
        <w:t>sfärocytos</w:t>
      </w:r>
      <w:proofErr w:type="spellEnd"/>
      <w:r w:rsidRPr="00A40B54">
        <w:rPr>
          <w:sz w:val="22"/>
          <w:szCs w:val="22"/>
        </w:rPr>
        <w:t xml:space="preserve"> (efterfråga hereditet, ofta dominant)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 xml:space="preserve">Enzymdefekter i </w:t>
      </w:r>
      <w:proofErr w:type="spellStart"/>
      <w:r w:rsidRPr="00A40B54">
        <w:rPr>
          <w:sz w:val="22"/>
          <w:szCs w:val="22"/>
        </w:rPr>
        <w:t>erytrocyter</w:t>
      </w:r>
      <w:proofErr w:type="spellEnd"/>
      <w:r w:rsidRPr="00A40B54">
        <w:rPr>
          <w:sz w:val="22"/>
          <w:szCs w:val="22"/>
        </w:rPr>
        <w:t xml:space="preserve"> t ex G-6-PD-brist (glucos-6-fosfatbrist) (</w:t>
      </w:r>
      <w:proofErr w:type="spellStart"/>
      <w:r w:rsidRPr="00A40B54">
        <w:rPr>
          <w:sz w:val="22"/>
          <w:szCs w:val="22"/>
        </w:rPr>
        <w:t>favism</w:t>
      </w:r>
      <w:proofErr w:type="spellEnd"/>
      <w:r w:rsidRPr="00A40B54">
        <w:rPr>
          <w:sz w:val="22"/>
          <w:szCs w:val="22"/>
        </w:rPr>
        <w:t>, etnicitet) m.fl. glykolysdefekter.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proofErr w:type="spellStart"/>
      <w:r w:rsidRPr="00A40B54">
        <w:rPr>
          <w:sz w:val="22"/>
          <w:szCs w:val="22"/>
        </w:rPr>
        <w:t>Hemoglobinopatier</w:t>
      </w:r>
      <w:proofErr w:type="spellEnd"/>
      <w:r w:rsidRPr="00A40B54">
        <w:rPr>
          <w:rFonts w:eastAsia="SymbolMT"/>
          <w:sz w:val="22"/>
          <w:szCs w:val="22"/>
        </w:rPr>
        <w:t xml:space="preserve"> t ex </w:t>
      </w:r>
      <w:proofErr w:type="spellStart"/>
      <w:r w:rsidRPr="00A40B54">
        <w:rPr>
          <w:sz w:val="22"/>
          <w:szCs w:val="22"/>
        </w:rPr>
        <w:t>thalassemi</w:t>
      </w:r>
      <w:r>
        <w:rPr>
          <w:rFonts w:eastAsia="SymbolMT"/>
          <w:sz w:val="22"/>
          <w:szCs w:val="22"/>
        </w:rPr>
        <w:t>/</w:t>
      </w:r>
      <w:r w:rsidRPr="00A40B54">
        <w:rPr>
          <w:sz w:val="22"/>
          <w:szCs w:val="22"/>
        </w:rPr>
        <w:t>sicklecellanemi</w:t>
      </w:r>
      <w:proofErr w:type="spellEnd"/>
      <w:r w:rsidRPr="00A40B54">
        <w:rPr>
          <w:sz w:val="22"/>
          <w:szCs w:val="22"/>
        </w:rPr>
        <w:t xml:space="preserve"> (etnicitet, blodbild)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 xml:space="preserve">Autoimmun </w:t>
      </w:r>
      <w:proofErr w:type="spellStart"/>
      <w:r w:rsidRPr="00A40B54">
        <w:rPr>
          <w:sz w:val="22"/>
          <w:szCs w:val="22"/>
        </w:rPr>
        <w:t>hemolytisk</w:t>
      </w:r>
      <w:proofErr w:type="spellEnd"/>
      <w:r w:rsidRPr="00A40B54">
        <w:rPr>
          <w:sz w:val="22"/>
          <w:szCs w:val="22"/>
        </w:rPr>
        <w:t xml:space="preserve"> anemi (positiv DAT)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proofErr w:type="spellStart"/>
      <w:r w:rsidRPr="00A40B54">
        <w:rPr>
          <w:sz w:val="22"/>
          <w:szCs w:val="22"/>
        </w:rPr>
        <w:t>Mikroangiopati</w:t>
      </w:r>
      <w:proofErr w:type="spellEnd"/>
      <w:r w:rsidRPr="00A40B54">
        <w:rPr>
          <w:sz w:val="22"/>
          <w:szCs w:val="22"/>
        </w:rPr>
        <w:t xml:space="preserve"> (ex </w:t>
      </w:r>
      <w:proofErr w:type="spellStart"/>
      <w:r w:rsidRPr="00A40B54">
        <w:rPr>
          <w:sz w:val="22"/>
          <w:szCs w:val="22"/>
        </w:rPr>
        <w:t>hemolytiskt</w:t>
      </w:r>
      <w:proofErr w:type="spellEnd"/>
      <w:r w:rsidRPr="00A40B54">
        <w:rPr>
          <w:sz w:val="22"/>
          <w:szCs w:val="22"/>
        </w:rPr>
        <w:t xml:space="preserve"> uremiskt syndrom, HUS) (</w:t>
      </w:r>
      <w:proofErr w:type="spellStart"/>
      <w:r w:rsidRPr="00A40B54">
        <w:rPr>
          <w:sz w:val="22"/>
          <w:szCs w:val="22"/>
        </w:rPr>
        <w:t>kreastegring</w:t>
      </w:r>
      <w:proofErr w:type="spellEnd"/>
      <w:r w:rsidRPr="00A40B54">
        <w:rPr>
          <w:sz w:val="22"/>
          <w:szCs w:val="22"/>
        </w:rPr>
        <w:t xml:space="preserve">, </w:t>
      </w:r>
      <w:proofErr w:type="spellStart"/>
      <w:r w:rsidRPr="00A40B54">
        <w:rPr>
          <w:sz w:val="22"/>
          <w:szCs w:val="22"/>
        </w:rPr>
        <w:t>trombocytopeni</w:t>
      </w:r>
      <w:proofErr w:type="spellEnd"/>
      <w:r w:rsidRPr="00A40B54">
        <w:rPr>
          <w:sz w:val="22"/>
          <w:szCs w:val="22"/>
        </w:rPr>
        <w:t xml:space="preserve">, ökade </w:t>
      </w:r>
      <w:proofErr w:type="spellStart"/>
      <w:r w:rsidRPr="00A40B54">
        <w:rPr>
          <w:sz w:val="22"/>
          <w:szCs w:val="22"/>
        </w:rPr>
        <w:t>schistocyter</w:t>
      </w:r>
      <w:proofErr w:type="spellEnd"/>
      <w:r w:rsidRPr="00A40B54">
        <w:rPr>
          <w:sz w:val="22"/>
          <w:szCs w:val="22"/>
        </w:rPr>
        <w:t xml:space="preserve"> i blodutstryk)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sz w:val="22"/>
          <w:szCs w:val="22"/>
        </w:rPr>
      </w:pPr>
      <w:r w:rsidRPr="00A40B54">
        <w:rPr>
          <w:bCs/>
          <w:sz w:val="22"/>
          <w:szCs w:val="22"/>
        </w:rPr>
        <w:t>D. Några andra orsaker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- Infektions/inflammationsanemi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- Malign sjukdom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- Blödningssjukdom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- Malabsorption, ex </w:t>
      </w:r>
      <w:proofErr w:type="spellStart"/>
      <w:r w:rsidRPr="00A40B54">
        <w:rPr>
          <w:sz w:val="22"/>
          <w:szCs w:val="22"/>
        </w:rPr>
        <w:t>celiaci</w:t>
      </w:r>
      <w:proofErr w:type="spellEnd"/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BLÖDNINGAR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Några medicinska orsaker till ökad blödningsbenägenhet kan vara: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 xml:space="preserve">Påverkan på blodkärl - </w:t>
      </w:r>
      <w:proofErr w:type="spellStart"/>
      <w:r w:rsidRPr="00A40B54">
        <w:rPr>
          <w:sz w:val="22"/>
          <w:szCs w:val="22"/>
        </w:rPr>
        <w:t>vaskuliter</w:t>
      </w:r>
      <w:proofErr w:type="spellEnd"/>
      <w:r w:rsidRPr="00A40B54">
        <w:rPr>
          <w:sz w:val="22"/>
          <w:szCs w:val="22"/>
        </w:rPr>
        <w:t>, sepsis, DIC, missbildningar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>Trombocytpåverkan, vanligast ITP (se sep PM) men även maligna sjukdomar med benmärgspåverkan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>Hemofili (A; brist på faktor VIII, B; brist på faktor IX och von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Willebrands sjukdom; brist på von </w:t>
      </w:r>
      <w:proofErr w:type="spellStart"/>
      <w:r w:rsidRPr="00A40B54">
        <w:rPr>
          <w:sz w:val="22"/>
          <w:szCs w:val="22"/>
        </w:rPr>
        <w:t>Willebrandsfaktorn</w:t>
      </w:r>
      <w:proofErr w:type="spellEnd"/>
      <w:r w:rsidRPr="00A40B54">
        <w:rPr>
          <w:sz w:val="22"/>
          <w:szCs w:val="22"/>
        </w:rPr>
        <w:t xml:space="preserve">), kontakta </w:t>
      </w:r>
      <w:proofErr w:type="spellStart"/>
      <w:r w:rsidRPr="00A40B54">
        <w:rPr>
          <w:sz w:val="22"/>
          <w:szCs w:val="22"/>
        </w:rPr>
        <w:t>koagulationslab</w:t>
      </w:r>
      <w:proofErr w:type="spellEnd"/>
      <w:r w:rsidRPr="00A40B54">
        <w:rPr>
          <w:sz w:val="22"/>
          <w:szCs w:val="22"/>
        </w:rPr>
        <w:t>.</w:t>
      </w:r>
    </w:p>
    <w:p w:rsidR="001C0787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rFonts w:eastAsia="SymbolMT"/>
          <w:sz w:val="22"/>
          <w:szCs w:val="22"/>
        </w:rPr>
        <w:t xml:space="preserve">− </w:t>
      </w:r>
      <w:r w:rsidRPr="00A40B54">
        <w:rPr>
          <w:sz w:val="22"/>
          <w:szCs w:val="22"/>
        </w:rPr>
        <w:t xml:space="preserve">K-vitamin brist - Förekommer i nyföddhetsperioden, vid malabsorption, leversjukdomar och vid cystisk fibros. </w:t>
      </w:r>
    </w:p>
    <w:p w:rsidR="001C0787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lastRenderedPageBreak/>
        <w:t>Kräver substitution intramuskulärt för att minska risken för blödningar.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Traumatiska/kirurgiska orsaker kan vara lömska såsom blödning från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tarmen (</w:t>
      </w:r>
      <w:proofErr w:type="spellStart"/>
      <w:r w:rsidRPr="00A40B54">
        <w:rPr>
          <w:sz w:val="22"/>
          <w:szCs w:val="22"/>
        </w:rPr>
        <w:t>Meckels</w:t>
      </w:r>
      <w:proofErr w:type="spellEnd"/>
      <w:r w:rsidRPr="00A40B54">
        <w:rPr>
          <w:sz w:val="22"/>
          <w:szCs w:val="22"/>
        </w:rPr>
        <w:t xml:space="preserve"> </w:t>
      </w:r>
      <w:proofErr w:type="spellStart"/>
      <w:r w:rsidRPr="00A40B54">
        <w:rPr>
          <w:sz w:val="22"/>
          <w:szCs w:val="22"/>
        </w:rPr>
        <w:t>divertikel</w:t>
      </w:r>
      <w:proofErr w:type="spellEnd"/>
      <w:r w:rsidRPr="00A40B54">
        <w:rPr>
          <w:sz w:val="22"/>
          <w:szCs w:val="22"/>
        </w:rPr>
        <w:t xml:space="preserve">, diffus tarmblödning) eller mjältruptur. Kolla </w:t>
      </w:r>
      <w:proofErr w:type="spellStart"/>
      <w:r w:rsidRPr="00A40B54">
        <w:rPr>
          <w:sz w:val="22"/>
          <w:szCs w:val="22"/>
        </w:rPr>
        <w:t>f-Hb</w:t>
      </w:r>
      <w:proofErr w:type="spellEnd"/>
      <w:r w:rsidRPr="00A40B54">
        <w:rPr>
          <w:sz w:val="22"/>
          <w:szCs w:val="22"/>
        </w:rPr>
        <w:t>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Anamnes och status ger oftast vägledning till blödningens orsak. Innan behandling med transfusion, kortison etc. sker säkerställ diagnos genom adekvat provtagning. Avvägning görs i samråd med hematologkonsult. Livsviktig behandling/transfusion får absolut inte fördröjas i avvaktan på provtagning.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TRANSFUSIONER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Transfusionsindikation vid anemi baseras på graden av påverkan på cirkulation och andning samt på hur hastigt Hb-faller, alltså på risken för snar försämring, snarare än på Hb-värdet i sig.  Dessutom vägs förutsättningarna för snabb spontan återhämtning av blodvärdet in. Vid exempelvis järnbristanemi, utan blödning, kan det vara onödigt att transfundera ens vid Hb runt 40 g/l om patienten är </w:t>
      </w:r>
      <w:proofErr w:type="spellStart"/>
      <w:r w:rsidRPr="00A40B54">
        <w:rPr>
          <w:sz w:val="22"/>
          <w:szCs w:val="22"/>
        </w:rPr>
        <w:t>cirkulatoriskt</w:t>
      </w:r>
      <w:proofErr w:type="spellEnd"/>
      <w:r w:rsidRPr="00A40B54">
        <w:rPr>
          <w:sz w:val="22"/>
          <w:szCs w:val="22"/>
        </w:rPr>
        <w:t xml:space="preserve"> opåverkad, då man kan förvänta sig snabb Hb-uppgång på insatt järnbehandling. Detta gäller inte vid pågående Hb-fall eller under nyföddhetsperioden då transfusionsgränsen måste sättas betydligt högre.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Hos spädbarn bör all blodprovstagning registreras. </w:t>
      </w:r>
      <w:proofErr w:type="spellStart"/>
      <w:r w:rsidRPr="00A40B54">
        <w:rPr>
          <w:sz w:val="22"/>
          <w:szCs w:val="22"/>
        </w:rPr>
        <w:t>Transfusionbehov</w:t>
      </w:r>
      <w:proofErr w:type="spellEnd"/>
      <w:r w:rsidRPr="00A40B54">
        <w:rPr>
          <w:sz w:val="22"/>
          <w:szCs w:val="22"/>
        </w:rPr>
        <w:t xml:space="preserve"> kan uppkomma när provmängderna under en 48-timmarsperiod uppgår till 5-10% av blodvolymen,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>som är cirka 85 ml/kg för nyfödda och cirka 80 ml/kg efter nyföddhetsperioden.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Mängden filtrerat (leukocytreducerat) e- </w:t>
      </w:r>
      <w:proofErr w:type="spellStart"/>
      <w:r w:rsidRPr="00A40B54">
        <w:rPr>
          <w:sz w:val="22"/>
          <w:szCs w:val="22"/>
        </w:rPr>
        <w:t>konc</w:t>
      </w:r>
      <w:proofErr w:type="spellEnd"/>
      <w:r w:rsidRPr="00A40B54">
        <w:rPr>
          <w:sz w:val="22"/>
          <w:szCs w:val="22"/>
        </w:rPr>
        <w:t xml:space="preserve"> som ges efter blodgruppering och förenlighetstest (BAS-test) är 10-15 ml/kg på 2-4 timmar. Vid akuta förluster kan större mängder ges under övervakning på BIVA.  4 ml </w:t>
      </w:r>
      <w:proofErr w:type="spellStart"/>
      <w:r w:rsidRPr="00A40B54">
        <w:rPr>
          <w:sz w:val="22"/>
          <w:szCs w:val="22"/>
        </w:rPr>
        <w:t>e-konc/kg</w:t>
      </w:r>
      <w:proofErr w:type="spellEnd"/>
      <w:r w:rsidRPr="00A40B54">
        <w:rPr>
          <w:sz w:val="22"/>
          <w:szCs w:val="22"/>
        </w:rPr>
        <w:t xml:space="preserve"> höjer B-Hb med i genomsnitt 10 g/l. För barn&lt;1500g och för barn som är immundefekta, kraftigt </w:t>
      </w:r>
      <w:proofErr w:type="spellStart"/>
      <w:r w:rsidRPr="00A40B54">
        <w:rPr>
          <w:sz w:val="22"/>
          <w:szCs w:val="22"/>
        </w:rPr>
        <w:t>immunsupprimerade</w:t>
      </w:r>
      <w:proofErr w:type="spellEnd"/>
      <w:r w:rsidRPr="00A40B54">
        <w:rPr>
          <w:sz w:val="22"/>
          <w:szCs w:val="22"/>
        </w:rPr>
        <w:t xml:space="preserve"> eller nytransplanterade skall </w:t>
      </w:r>
      <w:proofErr w:type="spellStart"/>
      <w:r w:rsidRPr="00A40B54">
        <w:rPr>
          <w:sz w:val="22"/>
          <w:szCs w:val="22"/>
        </w:rPr>
        <w:t>e-konc</w:t>
      </w:r>
      <w:proofErr w:type="spellEnd"/>
      <w:r w:rsidRPr="00A40B54">
        <w:rPr>
          <w:sz w:val="22"/>
          <w:szCs w:val="22"/>
        </w:rPr>
        <w:t xml:space="preserve"> även bestrålas. Vid </w:t>
      </w:r>
      <w:proofErr w:type="spellStart"/>
      <w:r w:rsidRPr="00A40B54">
        <w:rPr>
          <w:sz w:val="22"/>
          <w:szCs w:val="22"/>
        </w:rPr>
        <w:t>immunhemolys</w:t>
      </w:r>
      <w:proofErr w:type="spellEnd"/>
      <w:r w:rsidRPr="00A40B54">
        <w:rPr>
          <w:sz w:val="22"/>
          <w:szCs w:val="22"/>
        </w:rPr>
        <w:t xml:space="preserve"> kan det vara svårt att hitta helt förenligt blod, men ibland krävs ändå skyndsam transfusion. Jour måste då direkt kommunicera med transfusionsmedicin så att transfusion inte fördröjs.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Vid </w:t>
      </w:r>
      <w:proofErr w:type="spellStart"/>
      <w:r w:rsidRPr="00A40B54">
        <w:rPr>
          <w:sz w:val="22"/>
          <w:szCs w:val="22"/>
        </w:rPr>
        <w:t>trombocytopeni</w:t>
      </w:r>
      <w:proofErr w:type="spellEnd"/>
      <w:r w:rsidRPr="00A40B54">
        <w:rPr>
          <w:sz w:val="22"/>
          <w:szCs w:val="22"/>
        </w:rPr>
        <w:t xml:space="preserve"> avgör blödningsbenägenheten behovet av trombocyttransfusion. Vid ökad destruktion, t.ex. vid ITP är effekten dålig och transfusion ges i kombination med annan behandling som </w:t>
      </w:r>
      <w:proofErr w:type="spellStart"/>
      <w:r w:rsidRPr="00A40B54">
        <w:rPr>
          <w:sz w:val="22"/>
          <w:szCs w:val="22"/>
        </w:rPr>
        <w:t>IvIgG</w:t>
      </w:r>
      <w:proofErr w:type="spellEnd"/>
      <w:r w:rsidRPr="00A40B54">
        <w:rPr>
          <w:sz w:val="22"/>
          <w:szCs w:val="22"/>
        </w:rPr>
        <w:t xml:space="preserve"> och steroider, i svåra fall. I regel bör samråd med hematolog/onkolog ske innan trombocyter ges. Vanlig dos är 10-15 ml/kg på 30 min.</w:t>
      </w:r>
    </w:p>
    <w:p w:rsidR="001C0787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  <w:r w:rsidRPr="00A40B54">
        <w:rPr>
          <w:sz w:val="22"/>
          <w:szCs w:val="22"/>
        </w:rPr>
        <w:t xml:space="preserve"> 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sz w:val="22"/>
          <w:szCs w:val="22"/>
        </w:rPr>
      </w:pP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i/>
          <w:sz w:val="22"/>
          <w:szCs w:val="22"/>
        </w:rPr>
      </w:pPr>
      <w:r w:rsidRPr="00A40B54">
        <w:rPr>
          <w:bCs/>
          <w:i/>
          <w:sz w:val="22"/>
          <w:szCs w:val="22"/>
        </w:rPr>
        <w:t>KONTAKTA BARNHEMATOLOG OM NÅGOT ÄR OKLART!</w:t>
      </w:r>
    </w:p>
    <w:p w:rsidR="001C0787" w:rsidRPr="00A40B54" w:rsidRDefault="001C0787" w:rsidP="001C0787">
      <w:pPr>
        <w:tabs>
          <w:tab w:val="left" w:pos="0"/>
        </w:tabs>
        <w:autoSpaceDE w:val="0"/>
        <w:autoSpaceDN w:val="0"/>
        <w:adjustRightInd w:val="0"/>
        <w:rPr>
          <w:bCs/>
          <w:sz w:val="22"/>
          <w:szCs w:val="22"/>
        </w:rPr>
      </w:pPr>
    </w:p>
    <w:p w:rsidR="001C0787" w:rsidRPr="00A40B54" w:rsidRDefault="001C0787" w:rsidP="001C0787">
      <w:pPr>
        <w:widowControl/>
        <w:tabs>
          <w:tab w:val="left" w:pos="0"/>
        </w:tabs>
        <w:rPr>
          <w:b/>
          <w:sz w:val="22"/>
          <w:szCs w:val="22"/>
        </w:rPr>
      </w:pPr>
    </w:p>
    <w:p w:rsidR="001C0787" w:rsidRPr="00A40B54" w:rsidRDefault="001C0787" w:rsidP="001C0787">
      <w:pPr>
        <w:widowControl/>
        <w:rPr>
          <w:b/>
          <w:sz w:val="22"/>
          <w:szCs w:val="22"/>
        </w:rPr>
      </w:pPr>
    </w:p>
    <w:p w:rsidR="001C0787" w:rsidRPr="00A40B54" w:rsidRDefault="001C0787" w:rsidP="001C0787">
      <w:pPr>
        <w:widowControl/>
        <w:rPr>
          <w:b/>
          <w:sz w:val="22"/>
          <w:szCs w:val="22"/>
        </w:rPr>
      </w:pPr>
      <w:r w:rsidRPr="00A40B54">
        <w:rPr>
          <w:b/>
          <w:sz w:val="22"/>
          <w:szCs w:val="22"/>
        </w:rPr>
        <w:t>Versionshistorik</w:t>
      </w:r>
    </w:p>
    <w:p w:rsidR="001C0787" w:rsidRPr="00A40B54" w:rsidRDefault="001C0787" w:rsidP="001C0787">
      <w:pPr>
        <w:rPr>
          <w:sz w:val="22"/>
          <w:szCs w:val="22"/>
        </w:rPr>
      </w:pPr>
      <w:r w:rsidRPr="00A40B54">
        <w:rPr>
          <w:sz w:val="22"/>
          <w:szCs w:val="22"/>
        </w:rPr>
        <w:t>Varje dokument bör innehålla en historik som för varje version talar om vad som ändrats, vem som gjort ändringen och när ändringen gjordes.</w:t>
      </w:r>
    </w:p>
    <w:p w:rsidR="001C0787" w:rsidRPr="00A40B54" w:rsidRDefault="001C0787" w:rsidP="001C0787">
      <w:pPr>
        <w:widowControl/>
        <w:rPr>
          <w:sz w:val="22"/>
          <w:szCs w:val="22"/>
        </w:rPr>
      </w:pPr>
    </w:p>
    <w:tbl>
      <w:tblPr>
        <w:tblStyle w:val="Tabellrutnt"/>
        <w:tblW w:w="0" w:type="auto"/>
        <w:tblLook w:val="0020"/>
      </w:tblPr>
      <w:tblGrid>
        <w:gridCol w:w="1242"/>
        <w:gridCol w:w="1418"/>
        <w:gridCol w:w="4248"/>
        <w:gridCol w:w="2303"/>
      </w:tblGrid>
      <w:tr w:rsidR="001C0787" w:rsidRPr="00A40B54" w:rsidTr="00CF03A7">
        <w:tc>
          <w:tcPr>
            <w:tcW w:w="1242" w:type="dxa"/>
            <w:shd w:val="clear" w:color="auto" w:fill="D9D9D9" w:themeFill="background1" w:themeFillShade="D9"/>
          </w:tcPr>
          <w:p w:rsidR="001C0787" w:rsidRPr="00A40B54" w:rsidRDefault="001C0787" w:rsidP="00CF03A7">
            <w:pPr>
              <w:spacing w:before="120" w:after="120"/>
              <w:jc w:val="both"/>
              <w:rPr>
                <w:b/>
                <w:bCs/>
                <w:sz w:val="22"/>
                <w:szCs w:val="22"/>
              </w:rPr>
            </w:pPr>
            <w:r w:rsidRPr="00A40B54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C0787" w:rsidRPr="00A40B54" w:rsidRDefault="001C0787" w:rsidP="00CF03A7">
            <w:pPr>
              <w:spacing w:before="120" w:after="120"/>
              <w:jc w:val="both"/>
              <w:rPr>
                <w:b/>
                <w:bCs/>
                <w:sz w:val="22"/>
                <w:szCs w:val="22"/>
              </w:rPr>
            </w:pPr>
            <w:r w:rsidRPr="00A40B54">
              <w:rPr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1C0787" w:rsidRPr="00A40B54" w:rsidRDefault="001C0787" w:rsidP="00CF03A7">
            <w:pPr>
              <w:spacing w:before="120" w:after="120"/>
              <w:jc w:val="both"/>
              <w:rPr>
                <w:b/>
                <w:bCs/>
                <w:sz w:val="22"/>
                <w:szCs w:val="22"/>
              </w:rPr>
            </w:pPr>
            <w:r w:rsidRPr="00A40B54">
              <w:rPr>
                <w:b/>
                <w:bCs/>
                <w:sz w:val="22"/>
                <w:szCs w:val="22"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1C0787" w:rsidRPr="00A40B54" w:rsidRDefault="001C0787" w:rsidP="00CF03A7">
            <w:pPr>
              <w:spacing w:before="120" w:after="120"/>
              <w:jc w:val="both"/>
              <w:rPr>
                <w:b/>
                <w:bCs/>
                <w:sz w:val="22"/>
                <w:szCs w:val="22"/>
              </w:rPr>
            </w:pPr>
            <w:r w:rsidRPr="00A40B54">
              <w:rPr>
                <w:b/>
                <w:bCs/>
                <w:sz w:val="22"/>
                <w:szCs w:val="22"/>
              </w:rPr>
              <w:t>Ansvarig</w:t>
            </w:r>
          </w:p>
        </w:tc>
      </w:tr>
      <w:tr w:rsidR="001C0787" w:rsidRPr="00A40B54" w:rsidTr="00CF03A7">
        <w:tc>
          <w:tcPr>
            <w:tcW w:w="1242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 w:rsidRPr="00A40B54"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 w:rsidRPr="00A40B54">
              <w:rPr>
                <w:sz w:val="22"/>
                <w:szCs w:val="22"/>
              </w:rPr>
              <w:t>131104</w:t>
            </w:r>
          </w:p>
        </w:tc>
        <w:tc>
          <w:tcPr>
            <w:tcW w:w="4248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</w:p>
        </w:tc>
        <w:tc>
          <w:tcPr>
            <w:tcW w:w="2303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</w:p>
        </w:tc>
      </w:tr>
      <w:tr w:rsidR="001C0787" w:rsidRPr="00A40B54" w:rsidTr="00CF03A7">
        <w:tc>
          <w:tcPr>
            <w:tcW w:w="1242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8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 w:rsidRPr="00A40B54">
              <w:rPr>
                <w:sz w:val="22"/>
                <w:szCs w:val="22"/>
              </w:rPr>
              <w:t>141013</w:t>
            </w:r>
          </w:p>
        </w:tc>
        <w:tc>
          <w:tcPr>
            <w:tcW w:w="4248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 w:rsidRPr="00A40B54">
              <w:rPr>
                <w:sz w:val="22"/>
                <w:szCs w:val="22"/>
              </w:rPr>
              <w:t>Carina Ekberg</w:t>
            </w:r>
          </w:p>
        </w:tc>
        <w:tc>
          <w:tcPr>
            <w:tcW w:w="2303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</w:p>
        </w:tc>
      </w:tr>
      <w:tr w:rsidR="001C0787" w:rsidRPr="00A40B54" w:rsidTr="00CF03A7">
        <w:tc>
          <w:tcPr>
            <w:tcW w:w="1242" w:type="dxa"/>
          </w:tcPr>
          <w:p w:rsidR="001C0787" w:rsidRPr="00A40B54" w:rsidRDefault="00DE2674" w:rsidP="00CF03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151011</w:t>
            </w:r>
          </w:p>
        </w:tc>
        <w:tc>
          <w:tcPr>
            <w:tcW w:w="4248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Förkortad och namnjusterad</w:t>
            </w:r>
          </w:p>
        </w:tc>
        <w:tc>
          <w:tcPr>
            <w:tcW w:w="2303" w:type="dxa"/>
          </w:tcPr>
          <w:p w:rsidR="001C0787" w:rsidRPr="00A40B54" w:rsidRDefault="001C0787" w:rsidP="00CF03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Jacek </w:t>
            </w:r>
            <w:proofErr w:type="spellStart"/>
            <w:r>
              <w:rPr>
                <w:sz w:val="22"/>
                <w:szCs w:val="22"/>
              </w:rPr>
              <w:t>Winiarski</w:t>
            </w:r>
            <w:proofErr w:type="spellEnd"/>
            <w:r>
              <w:rPr>
                <w:sz w:val="22"/>
                <w:szCs w:val="22"/>
              </w:rPr>
              <w:t>, Nina Perrin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F3B" w:rsidRDefault="00252F3B" w:rsidP="00F47081">
      <w:r>
        <w:separator/>
      </w:r>
    </w:p>
  </w:endnote>
  <w:endnote w:type="continuationSeparator" w:id="0">
    <w:p w:rsidR="00252F3B" w:rsidRDefault="00252F3B" w:rsidP="00F47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 xml:space="preserve">Jacek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Winiarski/Karolinska/SLL;Petra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Edström/Karolinska/SLL;Susanna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Martinsson/Karolinska/SLL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Kar1-2232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Nina Perrin/Karolinska/SLL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r>
            <w:rPr>
              <w:rFonts w:asciiTheme="minorHAnsi" w:hAnsiTheme="minorHAnsi"/>
              <w:sz w:val="16"/>
              <w:szCs w:val="16"/>
            </w:rPr>
            <w:t>BM1</w:t>
          </w:r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 xml:space="preserve">Giltig </w:t>
          </w:r>
          <w:proofErr w:type="spellStart"/>
          <w:r w:rsidRPr="00792109">
            <w:rPr>
              <w:rFonts w:asciiTheme="minorHAnsi" w:hAnsiTheme="minorHAnsi"/>
              <w:sz w:val="16"/>
              <w:szCs w:val="16"/>
            </w:rPr>
            <w:t>fr</w:t>
          </w:r>
          <w:proofErr w:type="spellEnd"/>
          <w:r w:rsidRPr="00792109">
            <w:rPr>
              <w:rFonts w:asciiTheme="minorHAnsi" w:hAnsiTheme="minorHAnsi"/>
              <w:sz w:val="16"/>
              <w:szCs w:val="16"/>
            </w:rPr>
            <w:t xml:space="preserve">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3A205C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2016-04-04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232AF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A205C">
            <w:rPr>
              <w:rFonts w:asciiTheme="minorHAnsi" w:hAnsiTheme="minorHAnsi"/>
              <w:noProof/>
              <w:sz w:val="16"/>
              <w:szCs w:val="16"/>
            </w:rPr>
            <w:t>2016-04-05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232AFB" w:rsidRPr="00232AFB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 xml:space="preserve">Jacek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Winiarski/Karolinska/SLL;Petra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Edström/Karolinska/SLL;Susanna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Martinsson/Karolinska/SLL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3A205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Kar1-2232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Nina Perrin/Karolinska/SLL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3A205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r>
            <w:rPr>
              <w:rFonts w:asciiTheme="minorHAnsi" w:hAnsiTheme="minorHAnsi"/>
              <w:sz w:val="16"/>
              <w:szCs w:val="16"/>
            </w:rPr>
            <w:t>BM1</w:t>
          </w:r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 xml:space="preserve">Giltig </w:t>
          </w:r>
          <w:proofErr w:type="spellStart"/>
          <w:r w:rsidRPr="00792109">
            <w:rPr>
              <w:rFonts w:asciiTheme="minorHAnsi" w:hAnsiTheme="minorHAnsi"/>
              <w:sz w:val="16"/>
              <w:szCs w:val="16"/>
            </w:rPr>
            <w:t>fr</w:t>
          </w:r>
          <w:proofErr w:type="spellEnd"/>
          <w:r w:rsidRPr="00792109">
            <w:rPr>
              <w:rFonts w:asciiTheme="minorHAnsi" w:hAnsiTheme="minorHAnsi"/>
              <w:sz w:val="16"/>
              <w:szCs w:val="16"/>
            </w:rPr>
            <w:t xml:space="preserve"> o m:</w:t>
          </w:r>
        </w:p>
      </w:tc>
      <w:tc>
        <w:tcPr>
          <w:tcW w:w="1669" w:type="dxa"/>
        </w:tcPr>
        <w:p w:rsidR="009A0B7E" w:rsidRPr="00BD7647" w:rsidRDefault="003A205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2016-04-04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232AF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A205C">
            <w:rPr>
              <w:rFonts w:asciiTheme="minorHAnsi" w:hAnsiTheme="minorHAnsi"/>
              <w:noProof/>
              <w:sz w:val="16"/>
              <w:szCs w:val="16"/>
            </w:rPr>
            <w:t>2016-04-05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232AFB" w:rsidRPr="00232AFB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F3B" w:rsidRDefault="00252F3B" w:rsidP="00F47081">
      <w:r>
        <w:separator/>
      </w:r>
    </w:p>
  </w:footnote>
  <w:footnote w:type="continuationSeparator" w:id="0">
    <w:p w:rsidR="00252F3B" w:rsidRDefault="00252F3B" w:rsidP="00F47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3A20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232AF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3A205C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3A205C" w:rsidRPr="003A205C">
              <w:rPr>
                <w:rFonts w:asciiTheme="minorHAnsi" w:hAnsiTheme="minorHAnsi"/>
                <w:noProof/>
              </w:rPr>
              <w:t>3</w:t>
            </w:r>
          </w:fldSimple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3A205C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232AF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3A205C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3A205C" w:rsidRPr="003A205C">
              <w:rPr>
                <w:rFonts w:asciiTheme="minorHAnsi" w:hAnsiTheme="minorHAnsi"/>
                <w:noProof/>
              </w:rPr>
              <w:t>3</w:t>
            </w:r>
          </w:fldSimple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C0787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03E6A"/>
    <w:rsid w:val="002267BE"/>
    <w:rsid w:val="00232AFB"/>
    <w:rsid w:val="00233A25"/>
    <w:rsid w:val="00235B0D"/>
    <w:rsid w:val="00252F3B"/>
    <w:rsid w:val="002769F1"/>
    <w:rsid w:val="002C1CF4"/>
    <w:rsid w:val="002C4C2A"/>
    <w:rsid w:val="002C4EDA"/>
    <w:rsid w:val="002C574A"/>
    <w:rsid w:val="002C57F8"/>
    <w:rsid w:val="002F6D2D"/>
    <w:rsid w:val="003110B0"/>
    <w:rsid w:val="00322BE6"/>
    <w:rsid w:val="00323C05"/>
    <w:rsid w:val="0033668A"/>
    <w:rsid w:val="00347B62"/>
    <w:rsid w:val="003539AA"/>
    <w:rsid w:val="00356E00"/>
    <w:rsid w:val="00363F7D"/>
    <w:rsid w:val="00376CF2"/>
    <w:rsid w:val="003A205C"/>
    <w:rsid w:val="003A5662"/>
    <w:rsid w:val="003B131D"/>
    <w:rsid w:val="003C0BC1"/>
    <w:rsid w:val="003C230B"/>
    <w:rsid w:val="003C7DDC"/>
    <w:rsid w:val="003D3D1C"/>
    <w:rsid w:val="003E183E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30B5F"/>
    <w:rsid w:val="00437DBB"/>
    <w:rsid w:val="00447EBD"/>
    <w:rsid w:val="00463852"/>
    <w:rsid w:val="00463CE9"/>
    <w:rsid w:val="004644A8"/>
    <w:rsid w:val="00473759"/>
    <w:rsid w:val="00474607"/>
    <w:rsid w:val="004C5F7B"/>
    <w:rsid w:val="004D6811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170B4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B7541"/>
    <w:rsid w:val="008C2B03"/>
    <w:rsid w:val="008D143D"/>
    <w:rsid w:val="008E03CB"/>
    <w:rsid w:val="008F25CC"/>
    <w:rsid w:val="008F5F42"/>
    <w:rsid w:val="008F6310"/>
    <w:rsid w:val="00916924"/>
    <w:rsid w:val="00926A38"/>
    <w:rsid w:val="00946C7B"/>
    <w:rsid w:val="00947A73"/>
    <w:rsid w:val="00964350"/>
    <w:rsid w:val="0097166F"/>
    <w:rsid w:val="009954D8"/>
    <w:rsid w:val="009A0B7E"/>
    <w:rsid w:val="009A52C5"/>
    <w:rsid w:val="009C2F30"/>
    <w:rsid w:val="009D2946"/>
    <w:rsid w:val="009D51B5"/>
    <w:rsid w:val="009E34D9"/>
    <w:rsid w:val="009E6815"/>
    <w:rsid w:val="009F03FB"/>
    <w:rsid w:val="00A1365F"/>
    <w:rsid w:val="00A31276"/>
    <w:rsid w:val="00A32CFE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E0B76"/>
    <w:rsid w:val="00BF186B"/>
    <w:rsid w:val="00C11263"/>
    <w:rsid w:val="00C11EF7"/>
    <w:rsid w:val="00C13F95"/>
    <w:rsid w:val="00C215F0"/>
    <w:rsid w:val="00C27304"/>
    <w:rsid w:val="00C42CB4"/>
    <w:rsid w:val="00C579D4"/>
    <w:rsid w:val="00C712F5"/>
    <w:rsid w:val="00C90CCA"/>
    <w:rsid w:val="00CA1C4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103A"/>
    <w:rsid w:val="00D3561B"/>
    <w:rsid w:val="00D50DA7"/>
    <w:rsid w:val="00D56B21"/>
    <w:rsid w:val="00D60013"/>
    <w:rsid w:val="00D67F3A"/>
    <w:rsid w:val="00D7790F"/>
    <w:rsid w:val="00D81F0B"/>
    <w:rsid w:val="00DA4158"/>
    <w:rsid w:val="00DC4A3A"/>
    <w:rsid w:val="00DC6E20"/>
    <w:rsid w:val="00DE2674"/>
    <w:rsid w:val="00DE6B0F"/>
    <w:rsid w:val="00DF26E3"/>
    <w:rsid w:val="00DF3558"/>
    <w:rsid w:val="00DF3638"/>
    <w:rsid w:val="00E141F9"/>
    <w:rsid w:val="00E169EE"/>
    <w:rsid w:val="00E21228"/>
    <w:rsid w:val="00E45CCE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3A5F"/>
    <w:rsid w:val="00ED41EB"/>
    <w:rsid w:val="00ED799C"/>
    <w:rsid w:val="00EE5B69"/>
    <w:rsid w:val="00EE6DF8"/>
    <w:rsid w:val="00EF1495"/>
    <w:rsid w:val="00EF6425"/>
    <w:rsid w:val="00F0551D"/>
    <w:rsid w:val="00F055D4"/>
    <w:rsid w:val="00F11FD1"/>
    <w:rsid w:val="00F44F01"/>
    <w:rsid w:val="00F62AA2"/>
    <w:rsid w:val="00F93951"/>
    <w:rsid w:val="00FA4F3C"/>
    <w:rsid w:val="00FB4BA2"/>
    <w:rsid w:val="00FB7D90"/>
    <w:rsid w:val="00FE277A"/>
    <w:rsid w:val="00FF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E81B8-2A2B-4EF3-A6BD-BCB8977C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1027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3smx</cp:lastModifiedBy>
  <cp:revision>30</cp:revision>
  <cp:lastPrinted>2005-03-23T12:04:00Z</cp:lastPrinted>
  <dcterms:created xsi:type="dcterms:W3CDTF">2011-06-17T11:27:00Z</dcterms:created>
  <dcterms:modified xsi:type="dcterms:W3CDTF">2016-04-05T08:26:00Z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Disabled</vt:lpwstr>
  </property>
  <property fmtid="{D5CDD505-2E9C-101B-9397-08002B2CF9AE}" pid="3" name="SW_CustomTitle">
    <vt:lpwstr/>
  </property>
</Properties>
</file>