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201980" w:rsidRDefault="00155C56">
      <w:pPr>
        <w:pStyle w:val="Rubrik1"/>
      </w:pPr>
      <w:r>
        <w:rPr>
          <w:lang w:val="en-US"/>
        </w:rPr>
        <w:fldChar w:fldCharType="begin">
          <w:ffData>
            <w:name w:val="Rubrik"/>
            <w:enabled/>
            <w:calcOnExit w:val="0"/>
            <w:textInput>
              <w:default w:val="Förhudsbesvär - BARN"/>
            </w:textInput>
          </w:ffData>
        </w:fldChar>
      </w:r>
      <w:r w:rsidR="00BA3DB1" w:rsidRPr="00201980">
        <w:instrText xml:space="preserve"> FORMTEXT </w:instrText>
      </w:r>
      <w:r w:rsidR="00A72897">
        <w:rPr>
          <w:lang w:val="en-US"/>
        </w:rPr>
      </w:r>
      <w:r>
        <w:rPr>
          <w:lang w:val="en-US"/>
        </w:rPr>
        <w:fldChar w:fldCharType="separate"/>
      </w:r>
      <w:r w:rsidR="00A72897">
        <w:rPr>
          <w:lang w:val="en-US"/>
        </w:rPr>
        <w:t>Förhudsbesvär - BARN</w:t>
      </w:r>
      <w:r>
        <w:rPr>
          <w:lang w:val="en-US"/>
        </w:rPr>
        <w:fldChar w:fldCharType="end"/>
      </w:r>
      <w:bookmarkEnd w:id="0"/>
      <w:r w:rsidR="005253BF" w:rsidRPr="00201980">
        <w:t xml:space="preserve"> </w:t>
      </w:r>
    </w:p>
    <w:p w:rsidR="003F7062" w:rsidRPr="00201980" w:rsidRDefault="003F7062" w:rsidP="003F7062"/>
    <w:p w:rsidR="00ED12E1" w:rsidRDefault="00ED12E1" w:rsidP="00ED12E1">
      <w:pPr>
        <w:tabs>
          <w:tab w:val="left" w:pos="709"/>
          <w:tab w:val="left" w:pos="1134"/>
        </w:tabs>
        <w:ind w:right="159"/>
      </w:pPr>
    </w:p>
    <w:p w:rsidR="00E2798D" w:rsidRDefault="00E2798D" w:rsidP="00E2798D">
      <w:pPr>
        <w:rPr>
          <w:b/>
          <w:u w:val="single"/>
        </w:rPr>
      </w:pPr>
      <w:r>
        <w:rPr>
          <w:b/>
          <w:u w:val="single"/>
        </w:rPr>
        <w:t>Fimosis</w:t>
      </w:r>
    </w:p>
    <w:p w:rsidR="00E2798D" w:rsidRDefault="00E2798D" w:rsidP="00E2798D">
      <w:pPr>
        <w:rPr>
          <w:i/>
        </w:rPr>
      </w:pPr>
    </w:p>
    <w:p w:rsidR="00E2798D" w:rsidRDefault="00E2798D" w:rsidP="00E2798D">
      <w:pPr>
        <w:rPr>
          <w:i/>
        </w:rPr>
      </w:pPr>
      <w:r>
        <w:rPr>
          <w:i/>
        </w:rPr>
        <w:t xml:space="preserve">Bakgrund </w:t>
      </w:r>
    </w:p>
    <w:p w:rsidR="00E2798D" w:rsidRDefault="00E2798D" w:rsidP="00E2798D">
      <w:r>
        <w:t xml:space="preserve">Fimosis innebär en förhudsförträngning ledande till en oförmåga att retrahera förhuden bakom ollonet. </w:t>
      </w:r>
      <w:r>
        <w:rPr>
          <w:i/>
        </w:rPr>
        <w:t>Fysiologisk fimosis</w:t>
      </w:r>
      <w:r>
        <w:t xml:space="preserve"> är ett normaltillstånd hos små pojkar (50% av 1-åringar, 8% av 7-åringar, 1% av 16-åringar), det ger i de flesta fall inga symtom och löser sig oftast spontant innan tonåren. Undantaget är äkta eller sekundär fimosis, en ärrbildning av förhuden, som kan bero på upprepade trauma beroende på försök att retrahera förhuden, upprepade balaniter eller Lichen sclerosus. Lichen är en hudåkomma som ger en inflammation med risk för ärromvandling av förhuden och som i de flesta fall behöver kirurgisk korrigering. </w:t>
      </w:r>
    </w:p>
    <w:p w:rsidR="00E2798D" w:rsidRDefault="00E2798D" w:rsidP="00E2798D">
      <w:pPr>
        <w:pStyle w:val="Normalwebb"/>
        <w:rPr>
          <w:i/>
        </w:rPr>
      </w:pPr>
      <w:r>
        <w:rPr>
          <w:i/>
        </w:rPr>
        <w:t xml:space="preserve">Behandlingsindikation </w:t>
      </w:r>
    </w:p>
    <w:p w:rsidR="00E2798D" w:rsidRDefault="00E2798D" w:rsidP="00E2798D">
      <w:pPr>
        <w:pStyle w:val="Normalwebb"/>
      </w:pPr>
      <w:r>
        <w:t xml:space="preserve">Absolut indikation för kirurgisk behandling är äkta eller sekundär fimosis. </w:t>
      </w:r>
    </w:p>
    <w:p w:rsidR="00E2798D" w:rsidRDefault="00E2798D" w:rsidP="00E2798D">
      <w:pPr>
        <w:pStyle w:val="Normalwebb"/>
      </w:pPr>
      <w:r>
        <w:t xml:space="preserve">Fysiologisk fimosis kan behöva behandlas vid upprepade balaniter, upprepade urinvägsinfektioner hos patienter med urinvägsanomalier och vid fimosis som inte släpper spontant vid pubertet.                           </w:t>
      </w:r>
    </w:p>
    <w:p w:rsidR="00E2798D" w:rsidRDefault="00E2798D" w:rsidP="00E2798D">
      <w:pPr>
        <w:pStyle w:val="Normalwebb"/>
      </w:pPr>
      <w:r>
        <w:t xml:space="preserve">Obs! Sammanväxningar mot glans (synekier) ska inte behandlas vare sig kirurgiskt eller medicinskt – de försvinner spontant, senast genom hormonpåverkan under pubertet. </w:t>
      </w:r>
    </w:p>
    <w:p w:rsidR="00E2798D" w:rsidRDefault="00E2798D" w:rsidP="00E2798D">
      <w:pPr>
        <w:pStyle w:val="Normalwebb"/>
        <w:rPr>
          <w:i/>
        </w:rPr>
      </w:pPr>
      <w:r>
        <w:rPr>
          <w:i/>
        </w:rPr>
        <w:t>Behandling</w:t>
      </w:r>
    </w:p>
    <w:p w:rsidR="00E2798D" w:rsidRDefault="00E2798D" w:rsidP="00E2798D">
      <w:pPr>
        <w:pStyle w:val="Normalwebb"/>
      </w:pPr>
      <w:r>
        <w:t xml:space="preserve">Vid äkta fimosis är förhudsplastik eller cirkumcision indicerat. Vid misstanke om Lichen sclerosus är cirkumcision rekommenderat. </w:t>
      </w:r>
    </w:p>
    <w:p w:rsidR="00E2798D" w:rsidRDefault="00E2798D" w:rsidP="00E2798D">
      <w:pPr>
        <w:pStyle w:val="Normalwebb"/>
      </w:pPr>
      <w:r>
        <w:t xml:space="preserve">Använd steroidkräm grupp 3 eller 4. Förslagsvis Dermovatkräm 0.05%, 25 grams tub. Dra tillbaka förhuden och smörj in preputiet i höjd med förträngningen morgon och kväll i 4–6 veckor. Tvätta händerna efter behandling. Klinisk utvärdering efter dessa veckor, antingen på mottagningen eller per telefon. Behandlingen kan upprepas ytterligare en gång. Vid misstanke om lichen sclerosus som engagerar även glans/urinrörsmynning bör patienten komma tillbaka till mottagningen för en flödesmätning. </w:t>
      </w:r>
    </w:p>
    <w:p w:rsidR="00E2798D" w:rsidRDefault="00E2798D" w:rsidP="00E2798D">
      <w:pPr>
        <w:pStyle w:val="Normalwebb"/>
      </w:pPr>
      <w:r>
        <w:t xml:space="preserve">Vid terapisvikt föreslås operativ behandling med omskärelse alternativt förhudsplastik. </w:t>
      </w:r>
    </w:p>
    <w:p w:rsidR="00E2798D" w:rsidRDefault="00E2798D" w:rsidP="00E2798D">
      <w:pPr>
        <w:pStyle w:val="Normalwebb"/>
      </w:pPr>
      <w:r>
        <w:t>Operation utförs dagkirurgiskt. Informera om att ollonet kan vara extra känsligt ett par veckor efter cirkumcision. Svullnad av penis kan kvarstå 2-3 veckor.</w:t>
      </w:r>
    </w:p>
    <w:p w:rsidR="00E2798D" w:rsidRDefault="00E2798D" w:rsidP="00E2798D">
      <w:pPr>
        <w:pStyle w:val="Normalwebb"/>
      </w:pPr>
      <w:r>
        <w:t>Behövs inget återbesök om okomplicerad cirkumcision. Om förhud skickas för PAD, telefonsvar för info.</w:t>
      </w:r>
    </w:p>
    <w:p w:rsidR="00E2798D" w:rsidRDefault="00E2798D" w:rsidP="00E2798D">
      <w:pPr>
        <w:rPr>
          <w:b/>
          <w:u w:val="single"/>
        </w:rPr>
      </w:pPr>
      <w:bookmarkStart w:id="1" w:name="_GoBack"/>
      <w:bookmarkEnd w:id="1"/>
      <w:r>
        <w:rPr>
          <w:b/>
          <w:u w:val="single"/>
        </w:rPr>
        <w:lastRenderedPageBreak/>
        <w:t>Balanit</w:t>
      </w:r>
    </w:p>
    <w:p w:rsidR="00E2798D" w:rsidRDefault="00E2798D" w:rsidP="00E2798D">
      <w:pPr>
        <w:rPr>
          <w:i/>
        </w:rPr>
      </w:pPr>
    </w:p>
    <w:p w:rsidR="00E2798D" w:rsidRDefault="00E2798D" w:rsidP="00E2798D">
      <w:pPr>
        <w:rPr>
          <w:strike/>
        </w:rPr>
      </w:pPr>
      <w:r>
        <w:rPr>
          <w:i/>
        </w:rPr>
        <w:t>Diagnos</w:t>
      </w:r>
      <w:r>
        <w:t xml:space="preserve">: Ställs kliniskt. </w:t>
      </w:r>
    </w:p>
    <w:p w:rsidR="00E2798D" w:rsidRDefault="00E2798D" w:rsidP="00E2798D"/>
    <w:p w:rsidR="00E2798D" w:rsidRDefault="00E2798D" w:rsidP="00E2798D">
      <w:pPr>
        <w:outlineLvl w:val="0"/>
      </w:pPr>
      <w:r>
        <w:rPr>
          <w:i/>
        </w:rPr>
        <w:t>Anamnes</w:t>
      </w:r>
      <w:r>
        <w:t xml:space="preserve">: Oftast besvär sedan ½ till 2 dygn med smärta lokalt och vid miktion samt tilltagande svullnad och rodnad av ofta både förhud och peniskropp. </w:t>
      </w:r>
    </w:p>
    <w:p w:rsidR="00E2798D" w:rsidRDefault="00E2798D" w:rsidP="00E2798D"/>
    <w:p w:rsidR="00E2798D" w:rsidRDefault="00E2798D" w:rsidP="00E2798D">
      <w:r>
        <w:rPr>
          <w:i/>
        </w:rPr>
        <w:t>Status</w:t>
      </w:r>
      <w:r>
        <w:t>: AT: Opåverkat barn. LS: Svullen, rodnad och ömmande förhud och penishud. Ibland kan sekret tömma sig spontant ur preputiemynningen. Vid mycket uttalade fall kan barnet inte kissa pga. smärta och/eller svullnad.</w:t>
      </w:r>
    </w:p>
    <w:p w:rsidR="00E2798D" w:rsidRDefault="00E2798D" w:rsidP="00E2798D"/>
    <w:p w:rsidR="00E2798D" w:rsidRDefault="00E2798D" w:rsidP="00E2798D">
      <w:r>
        <w:rPr>
          <w:i/>
        </w:rPr>
        <w:t>Orsak</w:t>
      </w:r>
      <w:r>
        <w:t xml:space="preserve">: Bakterier som infekterar utrymmet mellan förhudens inre blad och glans, där den unga pojken ofta har synekier och där stagnerad smegma ofta återfinns. </w:t>
      </w:r>
    </w:p>
    <w:p w:rsidR="00E2798D" w:rsidRDefault="00E2798D" w:rsidP="00E2798D">
      <w:pPr>
        <w:rPr>
          <w:i/>
        </w:rPr>
      </w:pPr>
    </w:p>
    <w:p w:rsidR="00E2798D" w:rsidRDefault="00E2798D" w:rsidP="00E2798D">
      <w:pPr>
        <w:rPr>
          <w:i/>
        </w:rPr>
      </w:pPr>
      <w:r>
        <w:rPr>
          <w:i/>
        </w:rPr>
        <w:t>Differentialdiagnoser</w:t>
      </w:r>
      <w:r>
        <w:t>: Paraphimosis, irritation i preputiet utan varbildning och spridning av infektion från punghuden (skrotalödem).</w:t>
      </w:r>
    </w:p>
    <w:p w:rsidR="00E2798D" w:rsidRDefault="00E2798D" w:rsidP="00E2798D">
      <w:pPr>
        <w:rPr>
          <w:i/>
        </w:rPr>
      </w:pPr>
    </w:p>
    <w:p w:rsidR="00E2798D" w:rsidRDefault="00E2798D" w:rsidP="00E2798D">
      <w:pPr>
        <w:outlineLvl w:val="0"/>
      </w:pPr>
      <w:r>
        <w:rPr>
          <w:i/>
        </w:rPr>
        <w:t>Utredning</w:t>
      </w:r>
      <w:r>
        <w:t>: Ingen provtagning om opåverkat barn. Odling för streptokocker om envisa besvär och peroral antibiotika vid positiv odling.</w:t>
      </w:r>
    </w:p>
    <w:p w:rsidR="00E2798D" w:rsidRDefault="00E2798D" w:rsidP="00E2798D">
      <w:pPr>
        <w:outlineLvl w:val="0"/>
      </w:pPr>
    </w:p>
    <w:p w:rsidR="00E2798D" w:rsidRDefault="00E2798D" w:rsidP="00E2798D">
      <w:r>
        <w:rPr>
          <w:i/>
        </w:rPr>
        <w:t>Förlopp</w:t>
      </w:r>
      <w:r>
        <w:t xml:space="preserve">: Varet tömmer sig vanligen spontant inom ett par dygn och hela inflammationen brukar gå i regress inom ytterligare ett par dygn. </w:t>
      </w:r>
    </w:p>
    <w:p w:rsidR="00E2798D" w:rsidRDefault="00E2798D" w:rsidP="00E2798D"/>
    <w:p w:rsidR="00E2798D" w:rsidRDefault="00E2798D" w:rsidP="00E2798D">
      <w:pPr>
        <w:outlineLvl w:val="0"/>
      </w:pPr>
      <w:r>
        <w:rPr>
          <w:i/>
        </w:rPr>
        <w:t>Komplikationer</w:t>
      </w:r>
      <w:r>
        <w:t xml:space="preserve">: Sannolikt kan ärrig phimosis uppstå efter upprepade balaniter men vanligen ej. </w:t>
      </w:r>
    </w:p>
    <w:p w:rsidR="00E2798D" w:rsidRDefault="00E2798D" w:rsidP="00E2798D"/>
    <w:p w:rsidR="00E2798D" w:rsidRDefault="00E2798D" w:rsidP="00E2798D">
      <w:r>
        <w:rPr>
          <w:i/>
        </w:rPr>
        <w:t>Behandling</w:t>
      </w:r>
      <w:r>
        <w:t xml:space="preserve">: Målet är att bevara förmåga till miktion och att smärtlindra. </w:t>
      </w:r>
    </w:p>
    <w:p w:rsidR="00E2798D" w:rsidRDefault="00E2798D" w:rsidP="00E2798D">
      <w:pPr>
        <w:outlineLvl w:val="0"/>
      </w:pPr>
    </w:p>
    <w:p w:rsidR="00E2798D" w:rsidRDefault="00E2798D" w:rsidP="00E2798D">
      <w:pPr>
        <w:outlineLvl w:val="0"/>
      </w:pPr>
      <w:r>
        <w:t>Oftast krävs ingen aktiv behandling lokalt utan det räcker med</w:t>
      </w:r>
    </w:p>
    <w:p w:rsidR="00E2798D" w:rsidRDefault="00E2798D" w:rsidP="00E2798D">
      <w:pPr>
        <w:widowControl/>
        <w:numPr>
          <w:ilvl w:val="0"/>
          <w:numId w:val="2"/>
        </w:numPr>
      </w:pPr>
      <w:r>
        <w:t>sittbad för lokal rengöring och för att underlätta miktion (vanligen 2-3 gånger per dag)</w:t>
      </w:r>
    </w:p>
    <w:p w:rsidR="00E2798D" w:rsidRDefault="00E2798D" w:rsidP="00E2798D">
      <w:pPr>
        <w:widowControl/>
        <w:numPr>
          <w:ilvl w:val="0"/>
          <w:numId w:val="2"/>
        </w:numPr>
      </w:pPr>
      <w:r>
        <w:t>peroral smärtlindring regelbundet enligt schema</w:t>
      </w:r>
    </w:p>
    <w:p w:rsidR="00E2798D" w:rsidRDefault="00E2798D" w:rsidP="00E2798D">
      <w:pPr>
        <w:outlineLvl w:val="0"/>
      </w:pPr>
    </w:p>
    <w:p w:rsidR="00E2798D" w:rsidRDefault="00E2798D" w:rsidP="00E2798D">
      <w:pPr>
        <w:widowControl/>
      </w:pPr>
    </w:p>
    <w:p w:rsidR="00E2798D" w:rsidRDefault="00E2798D" w:rsidP="00E2798D">
      <w:r>
        <w:t xml:space="preserve">I undantagsfall kan man behöva dränera genom att spola under förhuden samt eventuellt sätta in antibiotika. </w:t>
      </w:r>
    </w:p>
    <w:p w:rsidR="00E2798D" w:rsidRDefault="00E2798D" w:rsidP="00E2798D">
      <w:r>
        <w:t>Vid spolning och mekanisk rengöring av förhuden på akutmottagningen ges adekvat smärtlindring. Spola med kroppsvarmt kranvatten med en 10-20 ml spruta.</w:t>
      </w:r>
    </w:p>
    <w:p w:rsidR="00E2798D" w:rsidRDefault="00E2798D" w:rsidP="00E2798D"/>
    <w:p w:rsidR="00E2798D" w:rsidRDefault="00E2798D" w:rsidP="00E2798D">
      <w:pPr>
        <w:outlineLvl w:val="0"/>
      </w:pPr>
      <w:r>
        <w:t xml:space="preserve">Antibiotika ges oftast till inläggningsfallen. I de fall man har ett odlingssvar (exempelvis beta-hemolyserande grupp A streptokocker) riktas antibiotikan mot den aktuella bakterien, annars används trimetoprim-sulfa i första hand. </w:t>
      </w:r>
    </w:p>
    <w:p w:rsidR="00E2798D" w:rsidRDefault="00E2798D" w:rsidP="00E2798D">
      <w:pPr>
        <w:widowControl/>
        <w:rPr>
          <w:b/>
          <w:sz w:val="28"/>
          <w:szCs w:val="28"/>
        </w:rPr>
      </w:pPr>
    </w:p>
    <w:p w:rsidR="00E2798D" w:rsidRDefault="00E2798D" w:rsidP="00E2798D">
      <w:pPr>
        <w:widowControl/>
        <w:rPr>
          <w:b/>
          <w:u w:val="single"/>
        </w:rPr>
      </w:pPr>
      <w:r>
        <w:rPr>
          <w:b/>
          <w:u w:val="single"/>
        </w:rPr>
        <w:br w:type="page"/>
      </w:r>
    </w:p>
    <w:p w:rsidR="00E2798D" w:rsidRDefault="00E2798D" w:rsidP="00E2798D">
      <w:pPr>
        <w:pStyle w:val="Sidfot"/>
        <w:rPr>
          <w:b/>
          <w:u w:val="single"/>
        </w:rPr>
      </w:pPr>
      <w:r>
        <w:rPr>
          <w:b/>
          <w:u w:val="single"/>
        </w:rPr>
        <w:lastRenderedPageBreak/>
        <w:t>Parafimosis</w:t>
      </w:r>
    </w:p>
    <w:p w:rsidR="00E2798D" w:rsidRDefault="00E2798D" w:rsidP="00E2798D">
      <w:pPr>
        <w:pStyle w:val="Sidfot"/>
      </w:pPr>
    </w:p>
    <w:p w:rsidR="00E2798D" w:rsidRDefault="00E2798D" w:rsidP="00E2798D">
      <w:pPr>
        <w:pStyle w:val="Sidfot"/>
      </w:pPr>
      <w:r>
        <w:t>Parafimosis innebär att förhuden har retraherats över ollonet och fastnat där.</w:t>
      </w:r>
    </w:p>
    <w:p w:rsidR="00E2798D" w:rsidRDefault="00E2798D" w:rsidP="00E2798D">
      <w:pPr>
        <w:pStyle w:val="Sidfot"/>
      </w:pPr>
    </w:p>
    <w:p w:rsidR="00E2798D" w:rsidRDefault="00E2798D" w:rsidP="00E2798D">
      <w:pPr>
        <w:pStyle w:val="Sidfot"/>
      </w:pPr>
      <w:r>
        <w:rPr>
          <w:b/>
        </w:rPr>
        <w:t>Klinik</w:t>
      </w:r>
      <w:r>
        <w:tab/>
      </w:r>
      <w:r>
        <w:tab/>
      </w:r>
    </w:p>
    <w:p w:rsidR="00E2798D" w:rsidRDefault="00E2798D" w:rsidP="00E2798D">
      <w:pPr>
        <w:pStyle w:val="Sidfot"/>
      </w:pPr>
      <w:r>
        <w:t>Lokal uttalad smärta och svullnad av förhuden som en glansig, svullen ring runt ollonet.</w:t>
      </w:r>
    </w:p>
    <w:p w:rsidR="00E2798D" w:rsidRDefault="00E2798D" w:rsidP="00E2798D">
      <w:pPr>
        <w:pStyle w:val="Sidfot"/>
      </w:pPr>
    </w:p>
    <w:p w:rsidR="00E2798D" w:rsidRDefault="00E2798D" w:rsidP="00E2798D">
      <w:pPr>
        <w:pStyle w:val="Sidfot"/>
      </w:pPr>
    </w:p>
    <w:p w:rsidR="00E2798D" w:rsidRDefault="00E2798D" w:rsidP="00E2798D">
      <w:pPr>
        <w:pStyle w:val="Sidfot"/>
        <w:ind w:left="1440" w:hanging="1440"/>
      </w:pPr>
      <w:r>
        <w:rPr>
          <w:b/>
        </w:rPr>
        <w:t>Behandling</w:t>
      </w:r>
      <w:r>
        <w:tab/>
        <w:t>Snarast reposition av förhuden. Detta kan göras antingen manuellt direkt eller efter kompression. Kompression under c:a 20 minuter kan behövas. Om det ej går manuellt alternativt gör för ont vid repositionsförsök, kan denna göras operativt i penisblockad eller narkos. Dorsalklipp vid behov. Blodstillning med diatermi och sutur med resorberbara suturer.</w:t>
      </w:r>
    </w:p>
    <w:p w:rsidR="00E2798D" w:rsidRDefault="00E2798D" w:rsidP="00E2798D">
      <w:pPr>
        <w:pStyle w:val="Sidfot"/>
      </w:pPr>
    </w:p>
    <w:p w:rsidR="00E2798D" w:rsidRDefault="00E2798D" w:rsidP="00E2798D">
      <w:pPr>
        <w:pStyle w:val="Sidfot"/>
        <w:ind w:left="1440" w:hanging="1440"/>
      </w:pPr>
      <w:r>
        <w:rPr>
          <w:b/>
        </w:rPr>
        <w:t>Uppföljning</w:t>
      </w:r>
      <w:r>
        <w:tab/>
        <w:t>Efter 4–6 veckor, om patienten har besvär med trång förhud, för ställningstagande till kompletterande operation.</w:t>
      </w:r>
    </w:p>
    <w:p w:rsidR="00E2798D" w:rsidRDefault="00E2798D" w:rsidP="00E2798D">
      <w:pPr>
        <w:pStyle w:val="Sidfot"/>
        <w:ind w:left="1440" w:hanging="1440"/>
      </w:pPr>
      <w:r>
        <w:rPr>
          <w:b/>
        </w:rPr>
        <w:tab/>
      </w:r>
    </w:p>
    <w:p w:rsidR="00E2798D" w:rsidRDefault="00E2798D" w:rsidP="00E2798D">
      <w:pPr>
        <w:widowControl/>
        <w:rPr>
          <w:b/>
          <w:sz w:val="28"/>
          <w:szCs w:val="28"/>
        </w:rPr>
      </w:pPr>
    </w:p>
    <w:p w:rsidR="00E2798D" w:rsidRDefault="00E2798D" w:rsidP="00E2798D">
      <w:pPr>
        <w:widowControl/>
        <w:rPr>
          <w:b/>
          <w:sz w:val="28"/>
          <w:szCs w:val="28"/>
        </w:rPr>
      </w:pPr>
    </w:p>
    <w:p w:rsidR="00E2798D" w:rsidRDefault="00E2798D" w:rsidP="00E2798D">
      <w:pPr>
        <w:widowControl/>
        <w:rPr>
          <w:b/>
          <w:sz w:val="28"/>
          <w:szCs w:val="28"/>
          <w:lang w:val="en-US"/>
        </w:rPr>
      </w:pPr>
      <w:r>
        <w:rPr>
          <w:b/>
          <w:sz w:val="28"/>
          <w:szCs w:val="28"/>
          <w:lang w:val="en-US"/>
        </w:rPr>
        <w:t>Referenser:</w:t>
      </w:r>
    </w:p>
    <w:p w:rsidR="00E2798D" w:rsidRDefault="00E2798D" w:rsidP="00E2798D">
      <w:pPr>
        <w:widowControl/>
        <w:rPr>
          <w:b/>
          <w:sz w:val="28"/>
          <w:szCs w:val="28"/>
          <w:lang w:val="en-US"/>
        </w:rPr>
      </w:pPr>
    </w:p>
    <w:p w:rsidR="00E2798D" w:rsidRDefault="00E2798D" w:rsidP="00E2798D">
      <w:pPr>
        <w:widowControl/>
        <w:rPr>
          <w:lang w:val="en-US"/>
        </w:rPr>
      </w:pPr>
      <w:r>
        <w:rPr>
          <w:lang w:val="en-US"/>
        </w:rPr>
        <w:t>EAU-ESPU Guidelines on pediatric urology</w:t>
      </w:r>
    </w:p>
    <w:p w:rsidR="00730505" w:rsidRPr="00054687" w:rsidRDefault="00730505">
      <w:pPr>
        <w:widowControl/>
        <w:rPr>
          <w:b/>
          <w:sz w:val="28"/>
          <w:szCs w:val="28"/>
          <w:lang w:val="en-US"/>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E2798D" w:rsidRPr="0073674B" w:rsidTr="00767522">
        <w:tc>
          <w:tcPr>
            <w:tcW w:w="1242" w:type="dxa"/>
          </w:tcPr>
          <w:p w:rsidR="00E2798D" w:rsidRDefault="00E2798D" w:rsidP="00767522">
            <w:r>
              <w:t>10</w:t>
            </w:r>
          </w:p>
        </w:tc>
        <w:tc>
          <w:tcPr>
            <w:tcW w:w="1418" w:type="dxa"/>
          </w:tcPr>
          <w:p w:rsidR="00E2798D" w:rsidRDefault="00E2798D" w:rsidP="00767522">
            <w:r>
              <w:t>201015</w:t>
            </w:r>
          </w:p>
        </w:tc>
        <w:tc>
          <w:tcPr>
            <w:tcW w:w="4248" w:type="dxa"/>
          </w:tcPr>
          <w:p w:rsidR="00E2798D" w:rsidRDefault="00E2798D" w:rsidP="00767522">
            <w:r>
              <w:t>Ingen förändring, programstrul</w:t>
            </w:r>
          </w:p>
        </w:tc>
        <w:tc>
          <w:tcPr>
            <w:tcW w:w="2303" w:type="dxa"/>
          </w:tcPr>
          <w:p w:rsidR="00E2798D" w:rsidRDefault="00E2798D" w:rsidP="00767522">
            <w:r>
              <w:t>Julia Geborek L</w:t>
            </w:r>
          </w:p>
        </w:tc>
      </w:tr>
      <w:tr w:rsidR="00054687" w:rsidRPr="0073674B" w:rsidTr="00767522">
        <w:tc>
          <w:tcPr>
            <w:tcW w:w="1242" w:type="dxa"/>
          </w:tcPr>
          <w:p w:rsidR="00054687" w:rsidRDefault="00054687" w:rsidP="00767522">
            <w:r>
              <w:t>9</w:t>
            </w:r>
          </w:p>
        </w:tc>
        <w:tc>
          <w:tcPr>
            <w:tcW w:w="1418" w:type="dxa"/>
          </w:tcPr>
          <w:p w:rsidR="00054687" w:rsidRDefault="00054687" w:rsidP="00767522">
            <w:r>
              <w:t>201015</w:t>
            </w:r>
          </w:p>
        </w:tc>
        <w:tc>
          <w:tcPr>
            <w:tcW w:w="4248" w:type="dxa"/>
          </w:tcPr>
          <w:p w:rsidR="00054687" w:rsidRDefault="00054687" w:rsidP="00767522">
            <w:r>
              <w:t>Uppdaterad och genomarbetad</w:t>
            </w:r>
          </w:p>
        </w:tc>
        <w:tc>
          <w:tcPr>
            <w:tcW w:w="2303" w:type="dxa"/>
          </w:tcPr>
          <w:p w:rsidR="00054687" w:rsidRDefault="00054687" w:rsidP="00767522">
            <w:r>
              <w:t>Gundela Holmdahl och Lisa Örtqvist</w:t>
            </w:r>
          </w:p>
        </w:tc>
      </w:tr>
      <w:tr w:rsidR="002F7BA0" w:rsidRPr="0073674B" w:rsidTr="00767522">
        <w:tc>
          <w:tcPr>
            <w:tcW w:w="1242" w:type="dxa"/>
          </w:tcPr>
          <w:p w:rsidR="002F7BA0" w:rsidRDefault="002F7BA0" w:rsidP="00767522">
            <w:r>
              <w:t>8</w:t>
            </w:r>
          </w:p>
        </w:tc>
        <w:tc>
          <w:tcPr>
            <w:tcW w:w="1418" w:type="dxa"/>
          </w:tcPr>
          <w:p w:rsidR="002F7BA0" w:rsidRDefault="002F7BA0" w:rsidP="00767522">
            <w:r>
              <w:t>200512</w:t>
            </w:r>
          </w:p>
        </w:tc>
        <w:tc>
          <w:tcPr>
            <w:tcW w:w="4248" w:type="dxa"/>
          </w:tcPr>
          <w:p w:rsidR="002F7BA0" w:rsidRDefault="002F7BA0" w:rsidP="00767522">
            <w:r>
              <w:t>Flyttat i strukturen till ME Barnkirurgi</w:t>
            </w:r>
          </w:p>
        </w:tc>
        <w:tc>
          <w:tcPr>
            <w:tcW w:w="2303" w:type="dxa"/>
          </w:tcPr>
          <w:p w:rsidR="002F7BA0" w:rsidRDefault="002F7BA0" w:rsidP="00767522">
            <w:r>
              <w:t>Marie Nurmi</w:t>
            </w:r>
          </w:p>
        </w:tc>
      </w:tr>
      <w:tr w:rsidR="00725D96" w:rsidRPr="0073674B" w:rsidTr="00767522">
        <w:tc>
          <w:tcPr>
            <w:tcW w:w="1242" w:type="dxa"/>
          </w:tcPr>
          <w:p w:rsidR="00725D96" w:rsidRDefault="00725D96" w:rsidP="00767522">
            <w:r>
              <w:t>5</w:t>
            </w:r>
          </w:p>
        </w:tc>
        <w:tc>
          <w:tcPr>
            <w:tcW w:w="1418" w:type="dxa"/>
          </w:tcPr>
          <w:p w:rsidR="00725D96" w:rsidRPr="0073674B" w:rsidRDefault="00725D96" w:rsidP="00767522">
            <w:r>
              <w:t>160520</w:t>
            </w:r>
          </w:p>
        </w:tc>
        <w:tc>
          <w:tcPr>
            <w:tcW w:w="4248" w:type="dxa"/>
          </w:tcPr>
          <w:p w:rsidR="00725D96" w:rsidRDefault="00725D96" w:rsidP="00767522">
            <w:r>
              <w:t>Genomläsning</w:t>
            </w:r>
          </w:p>
        </w:tc>
        <w:tc>
          <w:tcPr>
            <w:tcW w:w="2303" w:type="dxa"/>
          </w:tcPr>
          <w:p w:rsidR="00725D96" w:rsidRDefault="00725D96" w:rsidP="00767522">
            <w:r>
              <w:t>Tamas Jozsa</w:t>
            </w:r>
          </w:p>
        </w:tc>
      </w:tr>
      <w:tr w:rsidR="0073674B" w:rsidRPr="0073674B" w:rsidTr="00767522">
        <w:tc>
          <w:tcPr>
            <w:tcW w:w="1242" w:type="dxa"/>
          </w:tcPr>
          <w:p w:rsidR="0073674B" w:rsidRPr="0073674B" w:rsidRDefault="002910C5" w:rsidP="00767522">
            <w:r>
              <w:t>4</w:t>
            </w:r>
          </w:p>
        </w:tc>
        <w:tc>
          <w:tcPr>
            <w:tcW w:w="1418" w:type="dxa"/>
          </w:tcPr>
          <w:p w:rsidR="0073674B" w:rsidRPr="0073674B" w:rsidRDefault="0073674B" w:rsidP="00767522"/>
        </w:tc>
        <w:tc>
          <w:tcPr>
            <w:tcW w:w="4248" w:type="dxa"/>
          </w:tcPr>
          <w:p w:rsidR="0073674B" w:rsidRPr="0073674B" w:rsidRDefault="00201980" w:rsidP="00767522">
            <w:r>
              <w:t>Genomläsning</w:t>
            </w:r>
          </w:p>
        </w:tc>
        <w:tc>
          <w:tcPr>
            <w:tcW w:w="2303" w:type="dxa"/>
          </w:tcPr>
          <w:p w:rsidR="0073674B" w:rsidRPr="0073674B" w:rsidRDefault="00201980" w:rsidP="00767522">
            <w:r>
              <w:t>Tamas Jozsa</w:t>
            </w:r>
          </w:p>
        </w:tc>
      </w:tr>
      <w:tr w:rsidR="0073674B" w:rsidRPr="0073674B" w:rsidTr="00767522">
        <w:tc>
          <w:tcPr>
            <w:tcW w:w="1242" w:type="dxa"/>
          </w:tcPr>
          <w:p w:rsidR="0073674B" w:rsidRPr="0073674B" w:rsidRDefault="0073674B" w:rsidP="00767522"/>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bl>
    <w:p w:rsidR="005262F7" w:rsidRPr="006330C0" w:rsidRDefault="005262F7" w:rsidP="0073674B"/>
    <w:sectPr w:rsidR="005262F7" w:rsidRPr="006330C0" w:rsidSect="00051851">
      <w:headerReference w:type="default" r:id="rId8"/>
      <w:footerReference w:type="default" r:id="rId9"/>
      <w:headerReference w:type="first" r:id="rId10"/>
      <w:footerReference w:type="first" r:id="rId11"/>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0C1" w:rsidRDefault="007B30C1" w:rsidP="00F47081">
      <w:r>
        <w:separator/>
      </w:r>
    </w:p>
  </w:endnote>
  <w:endnote w:type="continuationSeparator" w:id="0">
    <w:p w:rsidR="007B30C1" w:rsidRDefault="007B30C1"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A72897" w:rsidP="005C7C25">
          <w:pPr>
            <w:tabs>
              <w:tab w:val="left" w:pos="5010"/>
              <w:tab w:val="left" w:pos="6663"/>
            </w:tabs>
            <w:rPr>
              <w:rFonts w:asciiTheme="minorHAnsi" w:hAnsiTheme="minorHAnsi"/>
              <w:sz w:val="16"/>
              <w:szCs w:val="16"/>
            </w:rPr>
          </w:pPr>
          <w:bookmarkStart w:id="5" w:name="handläggare_sf"/>
          <w:r>
            <w:rPr>
              <w:rFonts w:asciiTheme="minorHAnsi" w:hAnsiTheme="minorHAnsi"/>
              <w:sz w:val="16"/>
              <w:szCs w:val="16"/>
            </w:rPr>
            <w:t>Tamas Jozsa/Karolinska/SLL;Marie Nurmi/Karolinska/SLL;Julia Geborek Lundberg/Karolinska/SLL</w:t>
          </w:r>
          <w:bookmarkEnd w:id="5"/>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A72897" w:rsidP="005C7C25">
          <w:pPr>
            <w:tabs>
              <w:tab w:val="left" w:pos="5010"/>
              <w:tab w:val="left" w:pos="6663"/>
            </w:tabs>
            <w:rPr>
              <w:rFonts w:asciiTheme="minorHAnsi" w:hAnsiTheme="minorHAnsi"/>
              <w:sz w:val="16"/>
              <w:szCs w:val="16"/>
            </w:rPr>
          </w:pPr>
          <w:bookmarkStart w:id="6" w:name="dokumentnr_sf"/>
          <w:bookmarkStart w:id="7" w:name="löpnummer_sf"/>
          <w:bookmarkEnd w:id="6"/>
          <w:r>
            <w:rPr>
              <w:rFonts w:asciiTheme="minorHAnsi" w:hAnsiTheme="minorHAnsi"/>
              <w:sz w:val="16"/>
              <w:szCs w:val="16"/>
            </w:rPr>
            <w:t>Kar1-0187</w:t>
          </w:r>
          <w:bookmarkEnd w:id="7"/>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A72897" w:rsidP="005C7C25">
          <w:pPr>
            <w:tabs>
              <w:tab w:val="left" w:pos="5010"/>
              <w:tab w:val="left" w:pos="6663"/>
            </w:tabs>
            <w:rPr>
              <w:rFonts w:asciiTheme="minorHAnsi" w:hAnsiTheme="minorHAnsi"/>
              <w:sz w:val="16"/>
              <w:szCs w:val="16"/>
            </w:rPr>
          </w:pPr>
          <w:bookmarkStart w:id="8" w:name="fastställare_sf"/>
          <w:r>
            <w:rPr>
              <w:rFonts w:asciiTheme="minorHAnsi" w:hAnsiTheme="minorHAnsi"/>
              <w:sz w:val="16"/>
              <w:szCs w:val="16"/>
            </w:rPr>
            <w:t>Tomas Wester/Karolinska/SLL</w:t>
          </w:r>
          <w:bookmarkEnd w:id="8"/>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A72897" w:rsidP="005C7C25">
          <w:pPr>
            <w:tabs>
              <w:tab w:val="left" w:pos="5010"/>
              <w:tab w:val="left" w:pos="6663"/>
            </w:tabs>
            <w:rPr>
              <w:rFonts w:asciiTheme="minorHAnsi" w:hAnsiTheme="minorHAnsi"/>
              <w:sz w:val="16"/>
              <w:szCs w:val="16"/>
            </w:rPr>
          </w:pPr>
          <w:bookmarkStart w:id="9" w:name="version_sf"/>
          <w:r>
            <w:rPr>
              <w:rFonts w:asciiTheme="minorHAnsi" w:hAnsiTheme="minorHAnsi"/>
              <w:sz w:val="16"/>
              <w:szCs w:val="16"/>
            </w:rPr>
            <w:t>10</w:t>
          </w:r>
          <w:bookmarkEnd w:id="9"/>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0" w:name="organisation_sf"/>
          <w:bookmarkEnd w:id="10"/>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A72897" w:rsidP="00E8302B">
          <w:pPr>
            <w:tabs>
              <w:tab w:val="left" w:pos="5010"/>
              <w:tab w:val="left" w:pos="6663"/>
            </w:tabs>
            <w:rPr>
              <w:rFonts w:asciiTheme="minorHAnsi" w:hAnsiTheme="minorHAnsi"/>
              <w:sz w:val="16"/>
              <w:szCs w:val="16"/>
            </w:rPr>
          </w:pPr>
          <w:bookmarkStart w:id="11" w:name="giltigdatum_sf"/>
          <w:r>
            <w:rPr>
              <w:rFonts w:asciiTheme="minorHAnsi" w:hAnsiTheme="minorHAnsi"/>
              <w:sz w:val="16"/>
              <w:szCs w:val="16"/>
            </w:rPr>
            <w:t>2020-10-15</w:t>
          </w:r>
          <w:bookmarkEnd w:id="11"/>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155C56"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A72897">
            <w:rPr>
              <w:rFonts w:asciiTheme="minorHAnsi" w:hAnsiTheme="minorHAnsi"/>
              <w:noProof/>
              <w:sz w:val="16"/>
              <w:szCs w:val="16"/>
            </w:rPr>
            <w:t>2020-10-15</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A72897">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A72897" w:rsidP="005C7C25">
          <w:pPr>
            <w:tabs>
              <w:tab w:val="left" w:pos="5010"/>
              <w:tab w:val="left" w:pos="6663"/>
            </w:tabs>
            <w:rPr>
              <w:rFonts w:asciiTheme="minorHAnsi" w:hAnsiTheme="minorHAnsi"/>
              <w:sz w:val="16"/>
              <w:szCs w:val="16"/>
            </w:rPr>
          </w:pPr>
          <w:bookmarkStart w:id="15" w:name="handläggare"/>
          <w:r>
            <w:rPr>
              <w:rFonts w:asciiTheme="minorHAnsi" w:hAnsiTheme="minorHAnsi"/>
              <w:sz w:val="16"/>
              <w:szCs w:val="16"/>
            </w:rPr>
            <w:t>Tamas Jozsa/Karolinska/SLL;Marie Nurmi/Karolinska/SLL;Julia Geborek Lundberg/Karolinska/SLL</w:t>
          </w:r>
          <w:bookmarkEnd w:id="15"/>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A72897" w:rsidP="00BD7647">
          <w:pPr>
            <w:tabs>
              <w:tab w:val="left" w:pos="5010"/>
              <w:tab w:val="left" w:pos="6663"/>
            </w:tabs>
            <w:rPr>
              <w:rFonts w:asciiTheme="minorHAnsi" w:hAnsiTheme="minorHAnsi"/>
              <w:sz w:val="16"/>
              <w:szCs w:val="16"/>
            </w:rPr>
          </w:pPr>
          <w:bookmarkStart w:id="16" w:name="löpnummer"/>
          <w:r>
            <w:rPr>
              <w:rFonts w:asciiTheme="minorHAnsi" w:hAnsiTheme="minorHAnsi"/>
              <w:sz w:val="16"/>
              <w:szCs w:val="16"/>
            </w:rPr>
            <w:t>Kar1-0187</w:t>
          </w:r>
          <w:bookmarkEnd w:id="16"/>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A72897" w:rsidP="005C7C25">
          <w:pPr>
            <w:tabs>
              <w:tab w:val="left" w:pos="5010"/>
              <w:tab w:val="left" w:pos="6663"/>
            </w:tabs>
            <w:rPr>
              <w:rFonts w:asciiTheme="minorHAnsi" w:hAnsiTheme="minorHAnsi"/>
              <w:sz w:val="16"/>
              <w:szCs w:val="16"/>
            </w:rPr>
          </w:pPr>
          <w:bookmarkStart w:id="17" w:name="fastställare"/>
          <w:r>
            <w:rPr>
              <w:rFonts w:asciiTheme="minorHAnsi" w:hAnsiTheme="minorHAnsi"/>
              <w:sz w:val="16"/>
              <w:szCs w:val="16"/>
            </w:rPr>
            <w:t>Tomas Wester/Karolinska/SLL</w:t>
          </w:r>
          <w:bookmarkEnd w:id="17"/>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A72897" w:rsidP="00BD7647">
          <w:pPr>
            <w:tabs>
              <w:tab w:val="left" w:pos="5010"/>
              <w:tab w:val="left" w:pos="6663"/>
            </w:tabs>
            <w:rPr>
              <w:rFonts w:asciiTheme="minorHAnsi" w:hAnsiTheme="minorHAnsi"/>
              <w:sz w:val="16"/>
              <w:szCs w:val="16"/>
            </w:rPr>
          </w:pPr>
          <w:bookmarkStart w:id="18" w:name="version"/>
          <w:r>
            <w:rPr>
              <w:rFonts w:asciiTheme="minorHAnsi" w:hAnsiTheme="minorHAnsi"/>
              <w:sz w:val="16"/>
              <w:szCs w:val="16"/>
            </w:rPr>
            <w:t>10</w:t>
          </w:r>
          <w:bookmarkEnd w:id="18"/>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9" w:name="Organisation"/>
          <w:bookmarkEnd w:id="19"/>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A72897" w:rsidP="005C7C25">
          <w:pPr>
            <w:tabs>
              <w:tab w:val="left" w:pos="5010"/>
              <w:tab w:val="left" w:pos="6663"/>
            </w:tabs>
            <w:rPr>
              <w:rFonts w:asciiTheme="minorHAnsi" w:hAnsiTheme="minorHAnsi"/>
              <w:sz w:val="16"/>
              <w:szCs w:val="16"/>
            </w:rPr>
          </w:pPr>
          <w:bookmarkStart w:id="20" w:name="giltigdatum"/>
          <w:r>
            <w:rPr>
              <w:rFonts w:asciiTheme="minorHAnsi" w:hAnsiTheme="minorHAnsi"/>
              <w:sz w:val="16"/>
              <w:szCs w:val="16"/>
            </w:rPr>
            <w:t>2020-10-15</w:t>
          </w:r>
          <w:bookmarkEnd w:id="20"/>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155C56"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A72897">
            <w:rPr>
              <w:rFonts w:asciiTheme="minorHAnsi" w:hAnsiTheme="minorHAnsi"/>
              <w:noProof/>
              <w:sz w:val="16"/>
              <w:szCs w:val="16"/>
            </w:rPr>
            <w:t>2020-10-15</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A72897">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0C1" w:rsidRDefault="007B30C1" w:rsidP="00F47081">
      <w:r>
        <w:separator/>
      </w:r>
    </w:p>
  </w:footnote>
  <w:footnote w:type="continuationSeparator" w:id="0">
    <w:p w:rsidR="007B30C1" w:rsidRDefault="007B30C1"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A72897"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155C56"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C7507C">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F42616">
            <w:rPr>
              <w:rFonts w:asciiTheme="minorHAnsi" w:hAnsiTheme="minorHAnsi"/>
              <w:noProof/>
            </w:rPr>
            <w:fldChar w:fldCharType="begin"/>
          </w:r>
          <w:r w:rsidR="00F42616">
            <w:rPr>
              <w:rFonts w:asciiTheme="minorHAnsi" w:hAnsiTheme="minorHAnsi"/>
              <w:noProof/>
            </w:rPr>
            <w:instrText xml:space="preserve"> NUMPAGES  \* MERGEFORMAT </w:instrText>
          </w:r>
          <w:r w:rsidR="00F42616">
            <w:rPr>
              <w:rFonts w:asciiTheme="minorHAnsi" w:hAnsiTheme="minorHAnsi"/>
              <w:noProof/>
            </w:rPr>
            <w:fldChar w:fldCharType="separate"/>
          </w:r>
          <w:r w:rsidR="00C7507C" w:rsidRPr="00C7507C">
            <w:rPr>
              <w:rFonts w:asciiTheme="minorHAnsi" w:hAnsiTheme="minorHAnsi"/>
              <w:noProof/>
            </w:rPr>
            <w:t>2</w:t>
          </w:r>
          <w:r w:rsidR="00F42616">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8F5F42" w:rsidP="00C7507C">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3" w:name="status_sf"/>
          <w:r w:rsidR="00A72897">
            <w:rPr>
              <w:rFonts w:asciiTheme="minorHAnsi" w:hAnsiTheme="minorHAnsi"/>
              <w:sz w:val="20"/>
              <w:szCs w:val="20"/>
            </w:rPr>
            <w:t>gällande</w:t>
          </w:r>
          <w:bookmarkEnd w:id="3"/>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4" w:name="arkiverat_sf"/>
          <w:bookmarkEnd w:id="4"/>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A72897" w:rsidP="00773423">
          <w:pPr>
            <w:tabs>
              <w:tab w:val="left" w:pos="5010"/>
              <w:tab w:val="left" w:pos="6663"/>
            </w:tabs>
            <w:rPr>
              <w:rFonts w:asciiTheme="minorHAnsi" w:hAnsiTheme="minorHAnsi"/>
            </w:rPr>
          </w:pPr>
          <w:bookmarkStart w:id="12" w:name="Dokumenttyp"/>
          <w:r>
            <w:rPr>
              <w:rFonts w:asciiTheme="minorHAnsi" w:hAnsiTheme="minorHAnsi"/>
            </w:rPr>
            <w:t>Styrande lokalt dokument</w:t>
          </w:r>
          <w:bookmarkEnd w:id="12"/>
        </w:p>
      </w:tc>
      <w:tc>
        <w:tcPr>
          <w:tcW w:w="1346" w:type="dxa"/>
        </w:tcPr>
        <w:p w:rsidR="00363F7D" w:rsidRPr="00123992" w:rsidRDefault="00155C56"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C7507C">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F42616">
            <w:rPr>
              <w:rFonts w:asciiTheme="minorHAnsi" w:hAnsiTheme="minorHAnsi"/>
              <w:noProof/>
            </w:rPr>
            <w:fldChar w:fldCharType="begin"/>
          </w:r>
          <w:r w:rsidR="00F42616">
            <w:rPr>
              <w:rFonts w:asciiTheme="minorHAnsi" w:hAnsiTheme="minorHAnsi"/>
              <w:noProof/>
            </w:rPr>
            <w:instrText xml:space="preserve"> NUMPAGES  \* MERGEFORMAT </w:instrText>
          </w:r>
          <w:r w:rsidR="00F42616">
            <w:rPr>
              <w:rFonts w:asciiTheme="minorHAnsi" w:hAnsiTheme="minorHAnsi"/>
              <w:noProof/>
            </w:rPr>
            <w:fldChar w:fldCharType="separate"/>
          </w:r>
          <w:r w:rsidR="00C7507C" w:rsidRPr="00C7507C">
            <w:rPr>
              <w:rFonts w:asciiTheme="minorHAnsi" w:hAnsiTheme="minorHAnsi"/>
              <w:noProof/>
            </w:rPr>
            <w:t>2</w:t>
          </w:r>
          <w:r w:rsidR="00F42616">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8F5F42" w:rsidP="00C7507C">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13" w:name="status"/>
          <w:r w:rsidR="00A72897">
            <w:rPr>
              <w:rFonts w:asciiTheme="minorHAnsi" w:hAnsiTheme="minorHAnsi"/>
              <w:sz w:val="20"/>
              <w:szCs w:val="20"/>
            </w:rPr>
            <w:t>gällande</w:t>
          </w:r>
          <w:bookmarkEnd w:id="13"/>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4" w:name="arkiverat"/>
          <w:bookmarkEnd w:id="14"/>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1568E"/>
    <w:multiLevelType w:val="hybridMultilevel"/>
    <w:tmpl w:val="B5D89E2A"/>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start w:val="1"/>
      <w:numFmt w:val="bullet"/>
      <w:lvlText w:val=""/>
      <w:lvlJc w:val="left"/>
      <w:pPr>
        <w:tabs>
          <w:tab w:val="num" w:pos="4320"/>
        </w:tabs>
        <w:ind w:left="4320" w:hanging="360"/>
      </w:pPr>
      <w:rPr>
        <w:rFonts w:ascii="Wingdings" w:hAnsi="Wingdings" w:hint="default"/>
      </w:rPr>
    </w:lvl>
    <w:lvl w:ilvl="6" w:tplc="041D0001">
      <w:start w:val="1"/>
      <w:numFmt w:val="bullet"/>
      <w:lvlText w:val=""/>
      <w:lvlJc w:val="left"/>
      <w:pPr>
        <w:tabs>
          <w:tab w:val="num" w:pos="5040"/>
        </w:tabs>
        <w:ind w:left="5040" w:hanging="360"/>
      </w:pPr>
      <w:rPr>
        <w:rFonts w:ascii="Symbol" w:hAnsi="Symbol" w:hint="default"/>
      </w:rPr>
    </w:lvl>
    <w:lvl w:ilvl="7" w:tplc="041D0003">
      <w:start w:val="1"/>
      <w:numFmt w:val="bullet"/>
      <w:lvlText w:val="o"/>
      <w:lvlJc w:val="left"/>
      <w:pPr>
        <w:tabs>
          <w:tab w:val="num" w:pos="5760"/>
        </w:tabs>
        <w:ind w:left="5760" w:hanging="360"/>
      </w:pPr>
      <w:rPr>
        <w:rFonts w:ascii="Courier New" w:hAnsi="Courier New" w:cs="Courier New" w:hint="default"/>
      </w:rPr>
    </w:lvl>
    <w:lvl w:ilvl="8" w:tplc="041D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073C"/>
    <w:rsid w:val="00041B38"/>
    <w:rsid w:val="00046063"/>
    <w:rsid w:val="00047E0F"/>
    <w:rsid w:val="00051851"/>
    <w:rsid w:val="00054687"/>
    <w:rsid w:val="00072F71"/>
    <w:rsid w:val="00080A88"/>
    <w:rsid w:val="00090B26"/>
    <w:rsid w:val="0009181C"/>
    <w:rsid w:val="00097170"/>
    <w:rsid w:val="000A0DFF"/>
    <w:rsid w:val="000A6A10"/>
    <w:rsid w:val="000B17EC"/>
    <w:rsid w:val="000B4D3D"/>
    <w:rsid w:val="000C04C7"/>
    <w:rsid w:val="000D4E47"/>
    <w:rsid w:val="000E3AC9"/>
    <w:rsid w:val="000F3530"/>
    <w:rsid w:val="000F4D65"/>
    <w:rsid w:val="00100F5A"/>
    <w:rsid w:val="00100FDC"/>
    <w:rsid w:val="00101E13"/>
    <w:rsid w:val="001101F1"/>
    <w:rsid w:val="00123992"/>
    <w:rsid w:val="00136D5E"/>
    <w:rsid w:val="001504AB"/>
    <w:rsid w:val="001516CD"/>
    <w:rsid w:val="0015395E"/>
    <w:rsid w:val="00155C56"/>
    <w:rsid w:val="0015660A"/>
    <w:rsid w:val="0016509D"/>
    <w:rsid w:val="00167279"/>
    <w:rsid w:val="00191D8A"/>
    <w:rsid w:val="0019376C"/>
    <w:rsid w:val="001A1351"/>
    <w:rsid w:val="001C1BBD"/>
    <w:rsid w:val="001C3913"/>
    <w:rsid w:val="001C5ECA"/>
    <w:rsid w:val="001C71C5"/>
    <w:rsid w:val="001D0E4E"/>
    <w:rsid w:val="001E2505"/>
    <w:rsid w:val="001E6A21"/>
    <w:rsid w:val="001F232D"/>
    <w:rsid w:val="001F2B1C"/>
    <w:rsid w:val="00201980"/>
    <w:rsid w:val="00233A25"/>
    <w:rsid w:val="00233FA2"/>
    <w:rsid w:val="00235B0D"/>
    <w:rsid w:val="00244CD6"/>
    <w:rsid w:val="00272D0D"/>
    <w:rsid w:val="002769F1"/>
    <w:rsid w:val="00290DE7"/>
    <w:rsid w:val="00290FA5"/>
    <w:rsid w:val="00290FF7"/>
    <w:rsid w:val="002910C5"/>
    <w:rsid w:val="002A15B3"/>
    <w:rsid w:val="002B5772"/>
    <w:rsid w:val="002C069C"/>
    <w:rsid w:val="002C1CF4"/>
    <w:rsid w:val="002C4C2A"/>
    <w:rsid w:val="002C4EDA"/>
    <w:rsid w:val="002C574A"/>
    <w:rsid w:val="002C57F8"/>
    <w:rsid w:val="002F6D2D"/>
    <w:rsid w:val="002F7BA0"/>
    <w:rsid w:val="00323C05"/>
    <w:rsid w:val="0033668A"/>
    <w:rsid w:val="003539AA"/>
    <w:rsid w:val="00356E00"/>
    <w:rsid w:val="00363F7D"/>
    <w:rsid w:val="003761BF"/>
    <w:rsid w:val="00376CF2"/>
    <w:rsid w:val="00382708"/>
    <w:rsid w:val="003A5662"/>
    <w:rsid w:val="003B131D"/>
    <w:rsid w:val="003C230B"/>
    <w:rsid w:val="003C7DDC"/>
    <w:rsid w:val="003D3D1C"/>
    <w:rsid w:val="003F5240"/>
    <w:rsid w:val="003F7062"/>
    <w:rsid w:val="004042DC"/>
    <w:rsid w:val="004056C6"/>
    <w:rsid w:val="00405774"/>
    <w:rsid w:val="00405E69"/>
    <w:rsid w:val="00406BFC"/>
    <w:rsid w:val="00407F90"/>
    <w:rsid w:val="004111D2"/>
    <w:rsid w:val="00447EBD"/>
    <w:rsid w:val="00461471"/>
    <w:rsid w:val="00463852"/>
    <w:rsid w:val="00463CE9"/>
    <w:rsid w:val="004644A8"/>
    <w:rsid w:val="00473759"/>
    <w:rsid w:val="00474607"/>
    <w:rsid w:val="004C5F7B"/>
    <w:rsid w:val="004D23EE"/>
    <w:rsid w:val="004E0843"/>
    <w:rsid w:val="00502B3C"/>
    <w:rsid w:val="00505E91"/>
    <w:rsid w:val="00511AA9"/>
    <w:rsid w:val="00520160"/>
    <w:rsid w:val="00522CC6"/>
    <w:rsid w:val="00523EAD"/>
    <w:rsid w:val="005253BF"/>
    <w:rsid w:val="005262F7"/>
    <w:rsid w:val="00533490"/>
    <w:rsid w:val="00536E3C"/>
    <w:rsid w:val="00541FCA"/>
    <w:rsid w:val="00543742"/>
    <w:rsid w:val="005647A8"/>
    <w:rsid w:val="00576479"/>
    <w:rsid w:val="00594B6A"/>
    <w:rsid w:val="0059655E"/>
    <w:rsid w:val="005A75E6"/>
    <w:rsid w:val="005B04B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7161"/>
    <w:rsid w:val="0068125E"/>
    <w:rsid w:val="006A552A"/>
    <w:rsid w:val="006A7FD1"/>
    <w:rsid w:val="006D2669"/>
    <w:rsid w:val="006D3EEA"/>
    <w:rsid w:val="006E318F"/>
    <w:rsid w:val="006E5CD4"/>
    <w:rsid w:val="00725D96"/>
    <w:rsid w:val="00730505"/>
    <w:rsid w:val="007310E3"/>
    <w:rsid w:val="0073674B"/>
    <w:rsid w:val="00750DDF"/>
    <w:rsid w:val="00756427"/>
    <w:rsid w:val="00762575"/>
    <w:rsid w:val="007655C0"/>
    <w:rsid w:val="0076688B"/>
    <w:rsid w:val="00772BA3"/>
    <w:rsid w:val="00773423"/>
    <w:rsid w:val="007825F9"/>
    <w:rsid w:val="00784D4F"/>
    <w:rsid w:val="00792109"/>
    <w:rsid w:val="00797646"/>
    <w:rsid w:val="007A7CD8"/>
    <w:rsid w:val="007B30C1"/>
    <w:rsid w:val="007C46E0"/>
    <w:rsid w:val="007C481A"/>
    <w:rsid w:val="007E7E52"/>
    <w:rsid w:val="00820E06"/>
    <w:rsid w:val="0083084E"/>
    <w:rsid w:val="0084434C"/>
    <w:rsid w:val="008515AB"/>
    <w:rsid w:val="008765DF"/>
    <w:rsid w:val="00877AF7"/>
    <w:rsid w:val="00887EA3"/>
    <w:rsid w:val="00893D63"/>
    <w:rsid w:val="008956CE"/>
    <w:rsid w:val="008A147E"/>
    <w:rsid w:val="008A6A48"/>
    <w:rsid w:val="008B6CB0"/>
    <w:rsid w:val="008C2B03"/>
    <w:rsid w:val="008D143D"/>
    <w:rsid w:val="008E03CB"/>
    <w:rsid w:val="008F379E"/>
    <w:rsid w:val="008F5F42"/>
    <w:rsid w:val="00916924"/>
    <w:rsid w:val="00926A38"/>
    <w:rsid w:val="00946C7B"/>
    <w:rsid w:val="00947A73"/>
    <w:rsid w:val="00952FE3"/>
    <w:rsid w:val="009603BD"/>
    <w:rsid w:val="00964350"/>
    <w:rsid w:val="0097166F"/>
    <w:rsid w:val="00991BD4"/>
    <w:rsid w:val="009954D8"/>
    <w:rsid w:val="009A0B7E"/>
    <w:rsid w:val="009C2F30"/>
    <w:rsid w:val="009C713C"/>
    <w:rsid w:val="009D51B5"/>
    <w:rsid w:val="009E084D"/>
    <w:rsid w:val="009E34D9"/>
    <w:rsid w:val="009E6815"/>
    <w:rsid w:val="009F03FB"/>
    <w:rsid w:val="00A1365F"/>
    <w:rsid w:val="00A4456B"/>
    <w:rsid w:val="00A50CC6"/>
    <w:rsid w:val="00A67932"/>
    <w:rsid w:val="00A72897"/>
    <w:rsid w:val="00A80F9E"/>
    <w:rsid w:val="00A83DA6"/>
    <w:rsid w:val="00A95659"/>
    <w:rsid w:val="00AD7B2E"/>
    <w:rsid w:val="00AE2C8C"/>
    <w:rsid w:val="00AF69EE"/>
    <w:rsid w:val="00B00F3E"/>
    <w:rsid w:val="00B179AC"/>
    <w:rsid w:val="00B2112E"/>
    <w:rsid w:val="00B22B7D"/>
    <w:rsid w:val="00B237A2"/>
    <w:rsid w:val="00B24C48"/>
    <w:rsid w:val="00B46D94"/>
    <w:rsid w:val="00B5688E"/>
    <w:rsid w:val="00B7532A"/>
    <w:rsid w:val="00B81FC6"/>
    <w:rsid w:val="00B85E7F"/>
    <w:rsid w:val="00BA3DB1"/>
    <w:rsid w:val="00BB2D58"/>
    <w:rsid w:val="00BB74B1"/>
    <w:rsid w:val="00BB775E"/>
    <w:rsid w:val="00BC2905"/>
    <w:rsid w:val="00BD7647"/>
    <w:rsid w:val="00BF186B"/>
    <w:rsid w:val="00C03265"/>
    <w:rsid w:val="00C11EF7"/>
    <w:rsid w:val="00C215F0"/>
    <w:rsid w:val="00C27304"/>
    <w:rsid w:val="00C41481"/>
    <w:rsid w:val="00C579D4"/>
    <w:rsid w:val="00C6021E"/>
    <w:rsid w:val="00C712F5"/>
    <w:rsid w:val="00C7507C"/>
    <w:rsid w:val="00C86464"/>
    <w:rsid w:val="00C90CCA"/>
    <w:rsid w:val="00CA6F8A"/>
    <w:rsid w:val="00CB116E"/>
    <w:rsid w:val="00CB341B"/>
    <w:rsid w:val="00CC3836"/>
    <w:rsid w:val="00CC4FA1"/>
    <w:rsid w:val="00CC73B9"/>
    <w:rsid w:val="00CD53DF"/>
    <w:rsid w:val="00CE263C"/>
    <w:rsid w:val="00CF30BB"/>
    <w:rsid w:val="00CF4644"/>
    <w:rsid w:val="00D1656D"/>
    <w:rsid w:val="00D21D17"/>
    <w:rsid w:val="00D270A5"/>
    <w:rsid w:val="00D3561B"/>
    <w:rsid w:val="00D50DA7"/>
    <w:rsid w:val="00D56B21"/>
    <w:rsid w:val="00D60013"/>
    <w:rsid w:val="00D67F3A"/>
    <w:rsid w:val="00D7790F"/>
    <w:rsid w:val="00D81BDE"/>
    <w:rsid w:val="00D95994"/>
    <w:rsid w:val="00DA4158"/>
    <w:rsid w:val="00DC23EF"/>
    <w:rsid w:val="00DE0D96"/>
    <w:rsid w:val="00DE6E5F"/>
    <w:rsid w:val="00DF30EB"/>
    <w:rsid w:val="00DF3558"/>
    <w:rsid w:val="00DF3638"/>
    <w:rsid w:val="00DF58E1"/>
    <w:rsid w:val="00DF75C2"/>
    <w:rsid w:val="00E15DD0"/>
    <w:rsid w:val="00E169EE"/>
    <w:rsid w:val="00E21228"/>
    <w:rsid w:val="00E2798D"/>
    <w:rsid w:val="00E63120"/>
    <w:rsid w:val="00E64F96"/>
    <w:rsid w:val="00E7592E"/>
    <w:rsid w:val="00E94A0B"/>
    <w:rsid w:val="00EA6533"/>
    <w:rsid w:val="00EB626B"/>
    <w:rsid w:val="00EB7FB0"/>
    <w:rsid w:val="00EC6562"/>
    <w:rsid w:val="00EC6E22"/>
    <w:rsid w:val="00ED12E1"/>
    <w:rsid w:val="00ED41EB"/>
    <w:rsid w:val="00EE5B69"/>
    <w:rsid w:val="00EE6DF8"/>
    <w:rsid w:val="00EF6425"/>
    <w:rsid w:val="00F02D55"/>
    <w:rsid w:val="00F0551D"/>
    <w:rsid w:val="00F055D4"/>
    <w:rsid w:val="00F11FD1"/>
    <w:rsid w:val="00F42616"/>
    <w:rsid w:val="00F5369C"/>
    <w:rsid w:val="00F62AA2"/>
    <w:rsid w:val="00F71733"/>
    <w:rsid w:val="00F93951"/>
    <w:rsid w:val="00FB4BA2"/>
    <w:rsid w:val="00FB7D90"/>
    <w:rsid w:val="00FF0448"/>
    <w:rsid w:val="00FF5A8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92A0DF36-8990-4F1B-B681-BF142871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link w:val="SidfotChar"/>
    <w:uiPriority w:val="99"/>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xtmedindrag">
    <w:name w:val="Body Text Indent"/>
    <w:basedOn w:val="Normal"/>
    <w:link w:val="BrdtextmedindragChar"/>
    <w:rsid w:val="00ED12E1"/>
    <w:pPr>
      <w:widowControl/>
      <w:ind w:left="1440"/>
    </w:pPr>
    <w:rPr>
      <w:szCs w:val="20"/>
    </w:rPr>
  </w:style>
  <w:style w:type="character" w:customStyle="1" w:styleId="BrdtextmedindragChar">
    <w:name w:val="Brödtext med indrag Char"/>
    <w:basedOn w:val="Standardstycketeckensnitt"/>
    <w:link w:val="Brdtextmedindrag"/>
    <w:rsid w:val="00ED12E1"/>
    <w:rPr>
      <w:sz w:val="24"/>
    </w:rPr>
  </w:style>
  <w:style w:type="paragraph" w:styleId="Normalwebb">
    <w:name w:val="Normal (Web)"/>
    <w:basedOn w:val="Normal"/>
    <w:uiPriority w:val="99"/>
    <w:semiHidden/>
    <w:unhideWhenUsed/>
    <w:rsid w:val="00054687"/>
    <w:pPr>
      <w:widowControl/>
      <w:spacing w:before="100" w:beforeAutospacing="1" w:after="100" w:afterAutospacing="1"/>
    </w:pPr>
  </w:style>
  <w:style w:type="character" w:customStyle="1" w:styleId="SidfotChar">
    <w:name w:val="Sidfot Char"/>
    <w:basedOn w:val="Standardstycketeckensnitt"/>
    <w:link w:val="Sidfot"/>
    <w:uiPriority w:val="99"/>
    <w:rsid w:val="000546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5487">
      <w:bodyDiv w:val="1"/>
      <w:marLeft w:val="0"/>
      <w:marRight w:val="0"/>
      <w:marTop w:val="0"/>
      <w:marBottom w:val="0"/>
      <w:divBdr>
        <w:top w:val="none" w:sz="0" w:space="0" w:color="auto"/>
        <w:left w:val="none" w:sz="0" w:space="0" w:color="auto"/>
        <w:bottom w:val="none" w:sz="0" w:space="0" w:color="auto"/>
        <w:right w:val="none" w:sz="0" w:space="0" w:color="auto"/>
      </w:divBdr>
    </w:div>
    <w:div w:id="105461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EF116-FD51-4B31-8C07-0EC875B11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4917C6A9</Template>
  <TotalTime>3</TotalTime>
  <Pages>3</Pages>
  <Words>834</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Julia Geborek Lundberg</cp:lastModifiedBy>
  <cp:revision>6</cp:revision>
  <cp:lastPrinted>2005-03-23T12:04:00Z</cp:lastPrinted>
  <dcterms:created xsi:type="dcterms:W3CDTF">2020-10-15T12:25:00Z</dcterms:created>
  <dcterms:modified xsi:type="dcterms:W3CDTF">2020-10-15T12:39:00Z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70232</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