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185" w:rsidRDefault="007C5185" w:rsidP="007C5185">
      <w:pPr>
        <w:pStyle w:val="Rubrik1"/>
        <w:rPr>
          <w:lang w:val="en-US"/>
        </w:rPr>
      </w:pPr>
      <w:bookmarkStart w:id="0" w:name="Rubrik"/>
    </w:p>
    <w:p w:rsidR="007C5185" w:rsidRDefault="00013A0E" w:rsidP="007C5185">
      <w:pPr>
        <w:pStyle w:val="Rubrik1"/>
        <w:rPr>
          <w:b w:val="0"/>
          <w:bCs w:val="0"/>
        </w:rPr>
      </w:pPr>
      <w:r>
        <w:rPr>
          <w:b w:val="0"/>
          <w:bCs w:val="0"/>
        </w:rPr>
        <w:fldChar w:fldCharType="begin">
          <w:ffData>
            <w:name w:val="Rubrik"/>
            <w:enabled/>
            <w:calcOnExit w:val="0"/>
            <w:textInput>
              <w:default w:val="Gastrointestinal blödning, övre - BARN"/>
            </w:textInput>
          </w:ffData>
        </w:fldChar>
      </w:r>
      <w:r w:rsidR="007C5185">
        <w:rPr>
          <w:b w:val="0"/>
          <w:bCs w:val="0"/>
        </w:rPr>
        <w:instrText xml:space="preserve"> FORMTEXT </w:instrText>
      </w:r>
      <w:r w:rsidR="00181CB0">
        <w:rPr>
          <w:b w:val="0"/>
          <w:bCs w:val="0"/>
        </w:rPr>
      </w:r>
      <w:r>
        <w:rPr>
          <w:b w:val="0"/>
          <w:bCs w:val="0"/>
        </w:rPr>
        <w:fldChar w:fldCharType="separate"/>
      </w:r>
      <w:r w:rsidR="00181CB0">
        <w:rPr>
          <w:b w:val="0"/>
          <w:bCs w:val="0"/>
        </w:rPr>
        <w:t>Gastrointestinal blödning, övre - BARN</w:t>
      </w:r>
      <w:r>
        <w:rPr>
          <w:b w:val="0"/>
          <w:bCs w:val="0"/>
        </w:rPr>
        <w:fldChar w:fldCharType="end"/>
      </w:r>
      <w:bookmarkEnd w:id="0"/>
      <w:r w:rsidR="007C5185" w:rsidRPr="007C5185">
        <w:rPr>
          <w:b w:val="0"/>
          <w:bCs w:val="0"/>
        </w:rPr>
        <w:t xml:space="preserve"> </w:t>
      </w:r>
    </w:p>
    <w:p w:rsidR="007C5185" w:rsidRDefault="007C5185" w:rsidP="007C5185">
      <w:pPr>
        <w:pStyle w:val="Rubrik1"/>
        <w:spacing w:before="240" w:after="120"/>
        <w:rPr>
          <w:rFonts w:asciiTheme="minorHAnsi" w:hAnsiTheme="minorHAnsi"/>
          <w:b w:val="0"/>
          <w:bCs w:val="0"/>
          <w:i/>
          <w:color w:val="000000"/>
          <w:szCs w:val="23"/>
        </w:rPr>
      </w:pPr>
      <w:r>
        <w:rPr>
          <w:rFonts w:asciiTheme="minorHAnsi" w:hAnsiTheme="minorHAnsi"/>
          <w:b w:val="0"/>
          <w:i/>
          <w:color w:val="000000"/>
          <w:szCs w:val="23"/>
        </w:rPr>
        <w:t xml:space="preserve">Inledning </w:t>
      </w:r>
    </w:p>
    <w:p w:rsidR="007C5185" w:rsidRDefault="007C5185" w:rsidP="007C51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Blödning i gastrointestinalkanalen (GI-kanalen) proximalt om ligamentum Treitz definieras som övre GI-blödning. Hemodynamiskt stabila patienter utan signifikant anemi handläggs av gastromedicin (”medicinsk blödning”). Hemodynamiskt instabila patienter med anemi handläggs av barnkirurg (”kirurgisk blödning”). Kirurgisk övre GI-blödning är ovanligt hos barn. </w:t>
      </w:r>
    </w:p>
    <w:p w:rsidR="007C5185" w:rsidRDefault="007C5185" w:rsidP="007C5185">
      <w:pPr>
        <w:pStyle w:val="Rubrik1"/>
        <w:spacing w:before="240" w:after="120"/>
        <w:rPr>
          <w:rFonts w:asciiTheme="minorHAnsi" w:hAnsiTheme="minorHAnsi"/>
          <w:i/>
          <w:color w:val="000000"/>
          <w:szCs w:val="23"/>
        </w:rPr>
      </w:pPr>
      <w:r>
        <w:rPr>
          <w:rFonts w:asciiTheme="minorHAnsi" w:hAnsiTheme="minorHAnsi"/>
          <w:b w:val="0"/>
          <w:i/>
          <w:color w:val="000000"/>
          <w:szCs w:val="23"/>
        </w:rPr>
        <w:t>Orsak</w:t>
      </w:r>
    </w:p>
    <w:p w:rsidR="007C5185" w:rsidRDefault="007C5185" w:rsidP="007C51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Etiologin varierar för barn i olika åldersgrupper enligt nedan:</w:t>
      </w:r>
    </w:p>
    <w:p w:rsidR="007C5185" w:rsidRDefault="007C5185" w:rsidP="007C5185">
      <w:pPr>
        <w:pStyle w:val="Default"/>
        <w:rPr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Neonatalperioden</w:t>
      </w: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Vanlig orsak: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Nedsvalt blod (amning)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Kateteriseringstrauma (v-sond) </w:t>
      </w: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Ovanlig orsak: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Esofagit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Gastrit eller stressulcus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Koagulopati (infektion?)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K-vitaminbrist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Kärlmissbildning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Hemorragisk sjukdom </w:t>
      </w:r>
      <w:r>
        <w:rPr>
          <w:sz w:val="23"/>
          <w:szCs w:val="23"/>
        </w:rPr>
        <w:br/>
      </w:r>
    </w:p>
    <w:p w:rsidR="007C5185" w:rsidRDefault="007C5185" w:rsidP="007C5185">
      <w:pPr>
        <w:pStyle w:val="Default"/>
        <w:tabs>
          <w:tab w:val="left" w:pos="1985"/>
        </w:tabs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Spädbarnsåret</w:t>
      </w: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sz w:val="23"/>
          <w:szCs w:val="23"/>
        </w:rPr>
      </w:pPr>
      <w:r>
        <w:rPr>
          <w:b/>
          <w:bCs/>
          <w:sz w:val="23"/>
          <w:szCs w:val="23"/>
        </w:rPr>
        <w:t>Vanlig orsak: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Nedsvalt blod (amning)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Esofagit (reflux)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Mallory-Weiss rift (kräkning)</w:t>
      </w: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Ovanlig orsak: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Gastrit eller stressulcus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Varicer (esofagus)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Kärlmissbildning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GI-duplikatur </w:t>
      </w:r>
      <w:r>
        <w:rPr>
          <w:sz w:val="23"/>
          <w:szCs w:val="23"/>
        </w:rPr>
        <w:br/>
      </w:r>
    </w:p>
    <w:p w:rsidR="007C5185" w:rsidRDefault="007C5185" w:rsidP="007C5185">
      <w:pPr>
        <w:widowControl/>
        <w:rPr>
          <w:b/>
          <w:bCs/>
          <w:color w:val="000000"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Barn och ungdomar</w:t>
      </w: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Vanlig orsak: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Esofagit (reflux)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Mallory-Weiss rift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Gastrit eller ulcus (H. Pylori) </w:t>
      </w: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Ovanlig orsak: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Varicer (esofagus)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Frätskada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Nedsvalt vasst föremål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Vaskulit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Mb Crohn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Hemobili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</w:p>
    <w:p w:rsidR="007C5185" w:rsidRDefault="007C5185" w:rsidP="007C5185">
      <w:pPr>
        <w:pStyle w:val="Rubrik1"/>
        <w:tabs>
          <w:tab w:val="left" w:pos="1985"/>
        </w:tabs>
        <w:spacing w:before="240" w:after="120"/>
        <w:rPr>
          <w:rFonts w:asciiTheme="minorHAnsi" w:hAnsiTheme="minorHAnsi"/>
          <w:i/>
          <w:color w:val="000000"/>
          <w:szCs w:val="23"/>
        </w:rPr>
      </w:pPr>
      <w:bookmarkStart w:id="1" w:name="_GoBack"/>
      <w:bookmarkEnd w:id="1"/>
      <w:r>
        <w:rPr>
          <w:rFonts w:asciiTheme="minorHAnsi" w:hAnsiTheme="minorHAnsi"/>
          <w:b w:val="0"/>
          <w:i/>
          <w:color w:val="000000"/>
          <w:szCs w:val="23"/>
        </w:rPr>
        <w:lastRenderedPageBreak/>
        <w:t xml:space="preserve">Klinik </w:t>
      </w:r>
    </w:p>
    <w:p w:rsidR="007C5185" w:rsidRDefault="007C5185" w:rsidP="007C5185">
      <w:pPr>
        <w:pStyle w:val="Default"/>
        <w:tabs>
          <w:tab w:val="left" w:pos="1985"/>
        </w:tabs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Blodiga kräkningar och/eller melena. </w:t>
      </w:r>
      <w:r>
        <w:rPr>
          <w:sz w:val="23"/>
          <w:szCs w:val="23"/>
        </w:rPr>
        <w:br/>
      </w: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Anamnes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Är det blod?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Är barnet tidigare friskt? (längd- och viktutveckling)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Vad har barnet ätit?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Har barnet nyligen haft näsblödning eller tappat tand?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Hur ser avföringen ut? (melena)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Upprepade kräkningar innan blödningen debuterade? </w:t>
      </w: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b/>
          <w:bCs/>
          <w:color w:val="auto"/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ind w:firstLine="13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Status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Vitalparametrar (puls och blodtryck)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Kapillär återfyllnad (&gt;2sek?)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Hepatosplenomegali? (portahypertension) </w:t>
      </w:r>
    </w:p>
    <w:p w:rsidR="007C5185" w:rsidRDefault="007C5185" w:rsidP="007C5185">
      <w:pPr>
        <w:pStyle w:val="Rubrik1"/>
        <w:tabs>
          <w:tab w:val="left" w:pos="1985"/>
        </w:tabs>
        <w:spacing w:before="240" w:after="120"/>
        <w:rPr>
          <w:rFonts w:asciiTheme="minorHAnsi" w:hAnsiTheme="minorHAnsi"/>
          <w:i/>
          <w:color w:val="000000"/>
          <w:szCs w:val="23"/>
        </w:rPr>
      </w:pPr>
      <w:r>
        <w:rPr>
          <w:rFonts w:asciiTheme="minorHAnsi" w:hAnsiTheme="minorHAnsi"/>
          <w:b w:val="0"/>
          <w:i/>
          <w:color w:val="000000"/>
          <w:szCs w:val="23"/>
        </w:rPr>
        <w:t xml:space="preserve">Utredning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Blodstatus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Blodgruppering/bastest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F-Hb (om oklart om blod)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Leverstatus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Koagulationsstatus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El-status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Ev. rtg BÖS (om misstanke om främmande kropp eller tarmperforation)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Ev. angiografi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Ev. endoskopi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MR (ej akut)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 xml:space="preserve">Ultraljud (ej akut)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(”Blödningsscint” ej användbart på övre GI-blödning)</w:t>
      </w:r>
    </w:p>
    <w:p w:rsidR="007C5185" w:rsidRDefault="007C5185" w:rsidP="007C5185">
      <w:pPr>
        <w:pStyle w:val="Rubrik1"/>
        <w:tabs>
          <w:tab w:val="left" w:pos="1985"/>
        </w:tabs>
        <w:spacing w:before="240" w:after="120"/>
        <w:rPr>
          <w:rFonts w:asciiTheme="minorHAnsi" w:hAnsiTheme="minorHAnsi"/>
          <w:i/>
          <w:color w:val="000000"/>
          <w:szCs w:val="23"/>
        </w:rPr>
      </w:pPr>
      <w:r>
        <w:rPr>
          <w:rFonts w:asciiTheme="minorHAnsi" w:hAnsiTheme="minorHAnsi"/>
          <w:b w:val="0"/>
          <w:i/>
          <w:color w:val="000000"/>
          <w:szCs w:val="23"/>
        </w:rPr>
        <w:t>Behandling</w:t>
      </w:r>
    </w:p>
    <w:p w:rsidR="007C5185" w:rsidRDefault="007C5185" w:rsidP="007C5185">
      <w:pPr>
        <w:pStyle w:val="Default"/>
        <w:tabs>
          <w:tab w:val="left" w:pos="1985"/>
        </w:tabs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Behandling av cirkulatoriskt instabil patient med pågående övre gastrointestinal blödning sker på BIVA i nära samarbete med narkosläkare och ”blödningsjouren” (vuxen).</w:t>
      </w:r>
    </w:p>
    <w:p w:rsidR="007C5185" w:rsidRDefault="007C5185" w:rsidP="007C5185">
      <w:pPr>
        <w:pStyle w:val="Default"/>
        <w:tabs>
          <w:tab w:val="left" w:pos="1985"/>
        </w:tabs>
        <w:rPr>
          <w:b/>
          <w:bCs/>
          <w:color w:val="auto"/>
          <w:sz w:val="23"/>
          <w:szCs w:val="23"/>
        </w:rPr>
      </w:pP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>Fasta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>V-sond (öppen)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Uppvätskning (Ringer-Acetat 10-20 ml/kg x flera)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Ev. blodtransfusion 10 ml/kg (x flera)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Ev. behandling av koagulopati, trombocytopeni, hypotermi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A: Endoskopi </w:t>
      </w:r>
      <w:r>
        <w:rPr>
          <w:b/>
          <w:bCs/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1. Endoskop med arbetskanal 2,0 mm (för ev. injektionsbehandling)</w:t>
      </w:r>
    </w:p>
    <w:p w:rsidR="007C5185" w:rsidRDefault="007C5185" w:rsidP="007C5185">
      <w:pPr>
        <w:pStyle w:val="Default"/>
        <w:tabs>
          <w:tab w:val="left" w:pos="1985"/>
        </w:tabs>
        <w:rPr>
          <w:sz w:val="23"/>
          <w:szCs w:val="23"/>
        </w:rPr>
      </w:pPr>
      <w:r>
        <w:rPr>
          <w:color w:val="auto"/>
          <w:sz w:val="23"/>
          <w:szCs w:val="23"/>
        </w:rPr>
        <w:tab/>
        <w:t xml:space="preserve">2. </w:t>
      </w:r>
      <w:r>
        <w:rPr>
          <w:sz w:val="23"/>
          <w:szCs w:val="23"/>
        </w:rPr>
        <w:t>Spola och sug rent från allt blod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3. Spola/tag bort det väggfasta koaglet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sz w:val="23"/>
          <w:szCs w:val="23"/>
        </w:rPr>
        <w:t>4. Är det ett mucosalt ulcus eller blödning från varicer?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b/>
          <w:sz w:val="23"/>
          <w:szCs w:val="23"/>
          <w:u w:val="single"/>
        </w:rPr>
        <w:lastRenderedPageBreak/>
        <w:t>Om mucosalt ulcus Forrest 1</w:t>
      </w:r>
      <w:r>
        <w:rPr>
          <w:sz w:val="23"/>
          <w:szCs w:val="23"/>
        </w:rPr>
        <w:t xml:space="preserve"> (pågående blödning)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Utspädd </w:t>
      </w:r>
      <w:r>
        <w:rPr>
          <w:sz w:val="23"/>
          <w:szCs w:val="23"/>
          <w:u w:val="single"/>
        </w:rPr>
        <w:t>adrenalin</w:t>
      </w:r>
      <w:r>
        <w:rPr>
          <w:sz w:val="23"/>
          <w:szCs w:val="23"/>
        </w:rPr>
        <w:t xml:space="preserve">/NaCl lösning i kvaddlar runt kärlet (för slemhinnesvullnad och mekanisk kompression av kärlet)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  <w:u w:val="single"/>
        </w:rPr>
        <w:t>Tisseel</w:t>
      </w:r>
      <w:r>
        <w:rPr>
          <w:sz w:val="23"/>
          <w:szCs w:val="23"/>
        </w:rPr>
        <w:t xml:space="preserve"> 2-4 kvaddlar intravasalt eller extravasalt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I.v. </w:t>
      </w:r>
      <w:r>
        <w:rPr>
          <w:sz w:val="23"/>
          <w:szCs w:val="23"/>
          <w:u w:val="single"/>
        </w:rPr>
        <w:t>protonpumpshämmare</w:t>
      </w:r>
      <w:r>
        <w:rPr>
          <w:sz w:val="23"/>
          <w:szCs w:val="23"/>
        </w:rPr>
        <w:t xml:space="preserve"> (exv. Nexium)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Behandlingen upprepas efter 12-24h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b/>
          <w:sz w:val="23"/>
          <w:szCs w:val="23"/>
          <w:u w:val="single"/>
        </w:rPr>
        <w:t>Om Forrest 2a</w:t>
      </w:r>
      <w:r>
        <w:rPr>
          <w:sz w:val="23"/>
          <w:szCs w:val="23"/>
        </w:rPr>
        <w:t xml:space="preserve"> (synlig kärlpipa utan pågående blödning)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Behandling så som vid Forrest 1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sz w:val="23"/>
          <w:szCs w:val="23"/>
        </w:rPr>
      </w:pPr>
      <w:r>
        <w:rPr>
          <w:b/>
          <w:sz w:val="23"/>
          <w:szCs w:val="23"/>
          <w:u w:val="single"/>
        </w:rPr>
        <w:t>Om Forrest 2b</w:t>
      </w:r>
      <w:r>
        <w:rPr>
          <w:sz w:val="23"/>
          <w:szCs w:val="23"/>
        </w:rPr>
        <w:t xml:space="preserve"> (sår utan synlig kärlpipa)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I.v. protonpumpshämmare </w:t>
      </w:r>
      <w:r>
        <w:rPr>
          <w:sz w:val="23"/>
          <w:szCs w:val="23"/>
        </w:rPr>
        <w:br/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Om esofagusvaricer/kärlmissbildning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Spola bort allt blod (oftast syns ingen pågående blödning då vener kollaberar lätt då esofagus/ventrikeln uppblåses)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  <w:u w:val="single"/>
        </w:rPr>
        <w:t>Aetoxysclerol</w:t>
      </w:r>
      <w:r>
        <w:rPr>
          <w:sz w:val="23"/>
          <w:szCs w:val="23"/>
        </w:rPr>
        <w:t xml:space="preserve"> 10 mg/ml (intravasalt eller extravasalt). Kvaddlar à 1 ml ges i spiralformation från kardia och upp ca 5 cm förbi översta begränsningen på varicerna, max dos 50 mg. Behandlingen bör upprepas/utvärderas efter 24-48h.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  <w:u w:val="single"/>
        </w:rPr>
        <w:t>Somatostatin</w:t>
      </w:r>
      <w:r>
        <w:rPr>
          <w:sz w:val="23"/>
          <w:szCs w:val="23"/>
        </w:rPr>
        <w:t xml:space="preserve"> 1-2 mikrogram/kg/h (underhållsbehandling </w:t>
      </w:r>
      <w:r>
        <w:rPr>
          <w:sz w:val="23"/>
          <w:szCs w:val="23"/>
        </w:rPr>
        <w:br/>
        <w:t xml:space="preserve">1 mikrogram/kg/h)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Om blödningskontroll ej erhålles fyll på med </w:t>
      </w:r>
      <w:r>
        <w:rPr>
          <w:sz w:val="23"/>
          <w:szCs w:val="23"/>
          <w:u w:val="single"/>
        </w:rPr>
        <w:t>NaCl kvaddlar</w:t>
      </w:r>
      <w:r>
        <w:rPr>
          <w:sz w:val="23"/>
          <w:szCs w:val="23"/>
        </w:rPr>
        <w:t xml:space="preserve"> för mekanisk kompression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Överväg </w:t>
      </w:r>
      <w:r>
        <w:rPr>
          <w:sz w:val="23"/>
          <w:szCs w:val="23"/>
          <w:u w:val="single"/>
        </w:rPr>
        <w:t>Novoseven</w:t>
      </w:r>
      <w:r>
        <w:rPr>
          <w:sz w:val="23"/>
          <w:szCs w:val="23"/>
        </w:rPr>
        <w:t xml:space="preserve"> (kontakt med koagulationsjour)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Överväg gummibandsligering </w:t>
      </w:r>
    </w:p>
    <w:p w:rsidR="007C5185" w:rsidRDefault="007C5185" w:rsidP="007C5185">
      <w:pPr>
        <w:pStyle w:val="Default"/>
        <w:numPr>
          <w:ilvl w:val="3"/>
          <w:numId w:val="3"/>
        </w:numPr>
        <w:tabs>
          <w:tab w:val="left" w:pos="1985"/>
        </w:tabs>
        <w:ind w:left="2352"/>
        <w:rPr>
          <w:sz w:val="23"/>
          <w:szCs w:val="23"/>
        </w:rPr>
      </w:pPr>
      <w:r>
        <w:rPr>
          <w:sz w:val="23"/>
          <w:szCs w:val="23"/>
        </w:rPr>
        <w:t xml:space="preserve">Beredskap för mekanisk kompression (Sengstakensond) </w:t>
      </w:r>
    </w:p>
    <w:p w:rsidR="007C5185" w:rsidRDefault="007C5185" w:rsidP="007C5185">
      <w:pPr>
        <w:pStyle w:val="Default"/>
        <w:tabs>
          <w:tab w:val="left" w:pos="1985"/>
        </w:tabs>
        <w:ind w:left="1304" w:firstLine="681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</w:p>
    <w:p w:rsidR="007C5185" w:rsidRDefault="007C5185" w:rsidP="007C5185">
      <w:pPr>
        <w:pStyle w:val="Default"/>
        <w:tabs>
          <w:tab w:val="left" w:pos="1985"/>
        </w:tabs>
        <w:ind w:left="2002" w:hanging="2002"/>
        <w:rPr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B Radiologi</w:t>
      </w:r>
      <w:r>
        <w:rPr>
          <w:b/>
          <w:bCs/>
          <w:color w:val="auto"/>
          <w:sz w:val="23"/>
          <w:szCs w:val="23"/>
        </w:rPr>
        <w:tab/>
      </w:r>
      <w:r>
        <w:rPr>
          <w:bCs/>
          <w:color w:val="auto"/>
          <w:sz w:val="23"/>
          <w:szCs w:val="23"/>
        </w:rPr>
        <w:t>Ev. angiografi med samtidig embolisering utföres av ”blödningsjouren” eller ”interventionist” på vuxenröntgen.</w:t>
      </w:r>
    </w:p>
    <w:p w:rsidR="007C5185" w:rsidRDefault="007C5185" w:rsidP="007C5185">
      <w:pPr>
        <w:pStyle w:val="Default"/>
        <w:tabs>
          <w:tab w:val="left" w:pos="1985"/>
        </w:tabs>
        <w:ind w:left="2600" w:hanging="2600"/>
        <w:rPr>
          <w:b/>
          <w:bCs/>
          <w:color w:val="auto"/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ind w:left="1988" w:hanging="1988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 Kirurgi </w:t>
      </w:r>
      <w:r>
        <w:rPr>
          <w:b/>
          <w:bCs/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Laparotomi med avsikt att omsticka/ligera blödande kärlpipa alternativt devaskulariserande stripping av venösa arkader längs esofagus. </w:t>
      </w:r>
    </w:p>
    <w:p w:rsidR="007C5185" w:rsidRDefault="007C5185" w:rsidP="007C5185">
      <w:pPr>
        <w:pStyle w:val="Default"/>
        <w:tabs>
          <w:tab w:val="left" w:pos="1985"/>
        </w:tabs>
        <w:rPr>
          <w:color w:val="auto"/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rPr>
          <w:color w:val="auto"/>
          <w:sz w:val="23"/>
          <w:szCs w:val="23"/>
        </w:rPr>
      </w:pPr>
    </w:p>
    <w:p w:rsidR="007C5185" w:rsidRDefault="007C5185" w:rsidP="007C5185">
      <w:pPr>
        <w:pStyle w:val="Default"/>
        <w:tabs>
          <w:tab w:val="left" w:pos="1985"/>
        </w:tabs>
        <w:rPr>
          <w:color w:val="auto"/>
          <w:sz w:val="23"/>
          <w:szCs w:val="23"/>
        </w:rPr>
      </w:pPr>
    </w:p>
    <w:p w:rsidR="007C5185" w:rsidRDefault="007C5185" w:rsidP="007C5185">
      <w:pPr>
        <w:pStyle w:val="Rubrik1"/>
        <w:tabs>
          <w:tab w:val="left" w:pos="1985"/>
        </w:tabs>
        <w:spacing w:before="240" w:after="120"/>
        <w:rPr>
          <w:rFonts w:asciiTheme="minorHAnsi" w:hAnsiTheme="minorHAnsi"/>
          <w:i/>
          <w:color w:val="000000"/>
          <w:szCs w:val="23"/>
        </w:rPr>
      </w:pPr>
      <w:r>
        <w:rPr>
          <w:rFonts w:asciiTheme="minorHAnsi" w:hAnsiTheme="minorHAnsi"/>
          <w:b w:val="0"/>
          <w:i/>
          <w:color w:val="000000"/>
          <w:szCs w:val="23"/>
        </w:rPr>
        <w:t xml:space="preserve">Referenser: </w:t>
      </w:r>
    </w:p>
    <w:p w:rsidR="007C5185" w:rsidRDefault="007C5185" w:rsidP="007C5185">
      <w:pPr>
        <w:pStyle w:val="Default"/>
        <w:numPr>
          <w:ilvl w:val="0"/>
          <w:numId w:val="4"/>
        </w:numPr>
        <w:tabs>
          <w:tab w:val="left" w:pos="1985"/>
        </w:tabs>
        <w:ind w:left="284" w:hanging="284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Sanjay Chawla et al, Upper Gastrointestinal Bleeding in Children, Clinical Pediatrics 2007 </w:t>
      </w:r>
    </w:p>
    <w:p w:rsidR="007C5185" w:rsidRDefault="007C5185" w:rsidP="007C5185">
      <w:pPr>
        <w:pStyle w:val="Default"/>
        <w:numPr>
          <w:ilvl w:val="0"/>
          <w:numId w:val="4"/>
        </w:numPr>
        <w:tabs>
          <w:tab w:val="left" w:pos="1985"/>
        </w:tabs>
        <w:ind w:left="284" w:hanging="284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Chaibou M et al, Clinical significant upper gastrointestinal bleeding in a pediatric intensive care unit, a prospective study, Pediatrics 1998 </w:t>
      </w:r>
    </w:p>
    <w:p w:rsidR="007C5185" w:rsidRDefault="007C5185" w:rsidP="007C5185">
      <w:pPr>
        <w:pStyle w:val="Default"/>
        <w:numPr>
          <w:ilvl w:val="0"/>
          <w:numId w:val="4"/>
        </w:numPr>
        <w:tabs>
          <w:tab w:val="left" w:pos="1985"/>
        </w:tabs>
        <w:ind w:left="284" w:hanging="284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Cochhran EB et al, Prevalence of, and risk factors for, upper gastrointestinal tract bleeding in critically ill pediatric patients, Critical Care Medicine 1992 </w:t>
      </w:r>
    </w:p>
    <w:p w:rsidR="007C5185" w:rsidRDefault="007C5185" w:rsidP="007C5185">
      <w:pPr>
        <w:pStyle w:val="Default"/>
        <w:numPr>
          <w:ilvl w:val="0"/>
          <w:numId w:val="4"/>
        </w:numPr>
        <w:tabs>
          <w:tab w:val="left" w:pos="1985"/>
        </w:tabs>
        <w:ind w:left="284" w:hanging="28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Söderlund C. Endoscopic therapy for upper GI bleeding, Svensk kirurgi 56, 1998 </w:t>
      </w:r>
    </w:p>
    <w:p w:rsidR="007C5185" w:rsidRDefault="007C5185" w:rsidP="007C5185">
      <w:pPr>
        <w:pStyle w:val="Default"/>
        <w:numPr>
          <w:ilvl w:val="0"/>
          <w:numId w:val="4"/>
        </w:numPr>
        <w:tabs>
          <w:tab w:val="left" w:pos="1985"/>
        </w:tabs>
        <w:ind w:left="284" w:hanging="28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Söderlund C. Övre gastrointestinal blödning, vård PM, Södersjukhuset, 2007</w:t>
      </w:r>
    </w:p>
    <w:p w:rsidR="007C5185" w:rsidRDefault="007C5185" w:rsidP="007C5185">
      <w:pPr>
        <w:widowControl/>
        <w:tabs>
          <w:tab w:val="left" w:pos="1985"/>
        </w:tabs>
        <w:rPr>
          <w:b/>
          <w:sz w:val="28"/>
          <w:szCs w:val="28"/>
        </w:rPr>
      </w:pPr>
    </w:p>
    <w:p w:rsidR="007C5185" w:rsidRDefault="007C5185" w:rsidP="007C5185">
      <w:pPr>
        <w:widowControl/>
        <w:tabs>
          <w:tab w:val="left" w:pos="1985"/>
        </w:tabs>
        <w:rPr>
          <w:b/>
          <w:sz w:val="28"/>
          <w:szCs w:val="28"/>
        </w:rPr>
      </w:pPr>
    </w:p>
    <w:p w:rsidR="007C5185" w:rsidRDefault="007C5185" w:rsidP="007C5185">
      <w:pPr>
        <w:widowControl/>
        <w:tabs>
          <w:tab w:val="left" w:pos="1985"/>
        </w:tabs>
        <w:rPr>
          <w:b/>
          <w:sz w:val="28"/>
          <w:szCs w:val="28"/>
        </w:rPr>
      </w:pPr>
    </w:p>
    <w:p w:rsidR="007C5185" w:rsidRDefault="007C5185" w:rsidP="007C5185">
      <w:pPr>
        <w:widowControl/>
        <w:tabs>
          <w:tab w:val="left" w:pos="1985"/>
        </w:tabs>
        <w:rPr>
          <w:b/>
          <w:sz w:val="28"/>
          <w:szCs w:val="28"/>
        </w:rPr>
      </w:pPr>
    </w:p>
    <w:p w:rsidR="007C5185" w:rsidRDefault="007C5185" w:rsidP="007C5185">
      <w:pPr>
        <w:widowControl/>
        <w:tabs>
          <w:tab w:val="left" w:pos="1985"/>
        </w:tabs>
        <w:rPr>
          <w:b/>
          <w:sz w:val="28"/>
          <w:szCs w:val="28"/>
        </w:rPr>
      </w:pPr>
    </w:p>
    <w:p w:rsidR="007C5185" w:rsidRDefault="007C5185" w:rsidP="007C5185">
      <w:pPr>
        <w:widowControl/>
        <w:tabs>
          <w:tab w:val="left" w:pos="19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Författare: Nader Ghaffarpour o Henrik Ehrén</w:t>
      </w:r>
    </w:p>
    <w:p w:rsidR="007C5185" w:rsidRDefault="007C5185" w:rsidP="007C5185">
      <w:pPr>
        <w:widowControl/>
        <w:rPr>
          <w:b/>
          <w:sz w:val="28"/>
          <w:szCs w:val="28"/>
        </w:rPr>
      </w:pPr>
    </w:p>
    <w:p w:rsidR="007C5185" w:rsidRDefault="007C5185" w:rsidP="007C5185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Versionshistorik</w:t>
      </w:r>
    </w:p>
    <w:p w:rsidR="007C5185" w:rsidRDefault="007C5185" w:rsidP="007C5185">
      <w:r>
        <w:t>Varje dokument bör innehålla en historik som för varje version talar om vad som ändrats, vem som gjort ändringen och när ändringen gjordes.</w:t>
      </w:r>
    </w:p>
    <w:p w:rsidR="007C5185" w:rsidRDefault="007C5185" w:rsidP="007C5185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C5185" w:rsidTr="007C518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5185" w:rsidRDefault="007C5185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5185" w:rsidRDefault="007C5185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5185" w:rsidRDefault="007C5185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5185" w:rsidRDefault="007C5185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Ansvarig</w:t>
            </w:r>
          </w:p>
        </w:tc>
      </w:tr>
      <w:tr w:rsidR="00E25124" w:rsidTr="007C518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24" w:rsidRDefault="00E25124"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24" w:rsidRDefault="00E25124">
            <w:r>
              <w:t>200513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24" w:rsidRDefault="00E25124">
            <w:r>
              <w:t>Flyttat i strukturen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24" w:rsidRDefault="00E25124">
            <w:r>
              <w:t>Marie Nurmi</w:t>
            </w:r>
          </w:p>
        </w:tc>
      </w:tr>
      <w:tr w:rsidR="007C5185" w:rsidTr="007C518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185" w:rsidRDefault="007C5185"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185" w:rsidRDefault="007C5185"/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185" w:rsidRDefault="007C5185">
            <w:r>
              <w:t>Större revision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185" w:rsidRDefault="007C5185"/>
        </w:tc>
      </w:tr>
      <w:tr w:rsidR="007C5185" w:rsidTr="007C518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185" w:rsidRDefault="007C518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185" w:rsidRDefault="007C5185"/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185" w:rsidRDefault="007C5185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185" w:rsidRDefault="007C5185"/>
        </w:tc>
      </w:tr>
    </w:tbl>
    <w:p w:rsidR="007C5185" w:rsidRDefault="007C5185" w:rsidP="007C5185"/>
    <w:p w:rsidR="0073674B" w:rsidRPr="00792109" w:rsidRDefault="0073674B">
      <w:pPr>
        <w:widowControl/>
        <w:rPr>
          <w:b/>
          <w:sz w:val="28"/>
          <w:szCs w:val="28"/>
        </w:rPr>
      </w:pPr>
    </w:p>
    <w:p w:rsidR="00792109" w:rsidRPr="00792109" w:rsidRDefault="00792109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sectPr w:rsidR="0073674B" w:rsidSect="007C518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BA7" w:rsidRDefault="00BC5BA7" w:rsidP="00F47081">
      <w:r>
        <w:separator/>
      </w:r>
    </w:p>
  </w:endnote>
  <w:endnote w:type="continuationSeparator" w:id="0">
    <w:p w:rsidR="00BC5BA7" w:rsidRDefault="00BC5BA7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181C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Julia Geborek Lundberg/Karolinska/SLL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181C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Kar1-0205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181C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Tomas Wester/Karolinska/SLL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181C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181CB0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2020-05-13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013A0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181CB0">
            <w:rPr>
              <w:rFonts w:asciiTheme="minorHAnsi" w:hAnsiTheme="minorHAnsi"/>
              <w:noProof/>
              <w:sz w:val="16"/>
              <w:szCs w:val="16"/>
            </w:rPr>
            <w:t>2021-01-25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181CB0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181C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Julia Geborek Lundberg/Karolinska/SLL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181CB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Kar1-0205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181C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Tomas Wester/Karolinska/SLL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181CB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7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181C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2020-05-13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013A0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181CB0">
            <w:rPr>
              <w:rFonts w:asciiTheme="minorHAnsi" w:hAnsiTheme="minorHAnsi"/>
              <w:noProof/>
              <w:sz w:val="16"/>
              <w:szCs w:val="16"/>
            </w:rPr>
            <w:t>2021-01-25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181CB0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BA7" w:rsidRDefault="00BC5BA7" w:rsidP="00F47081">
      <w:r>
        <w:separator/>
      </w:r>
    </w:p>
  </w:footnote>
  <w:footnote w:type="continuationSeparator" w:id="0">
    <w:p w:rsidR="00BC5BA7" w:rsidRDefault="00BC5BA7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181CB0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013A0E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6A354F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BD270E">
            <w:rPr>
              <w:rFonts w:asciiTheme="minorHAnsi" w:hAnsiTheme="minorHAnsi"/>
              <w:noProof/>
            </w:rPr>
            <w:fldChar w:fldCharType="begin"/>
          </w:r>
          <w:r w:rsidR="00BD270E">
            <w:rPr>
              <w:rFonts w:asciiTheme="minorHAnsi" w:hAnsiTheme="minorHAnsi"/>
              <w:noProof/>
            </w:rPr>
            <w:instrText xml:space="preserve"> NUMPAGES  \* MERGEFORMAT </w:instrText>
          </w:r>
          <w:r w:rsidR="00BD270E">
            <w:rPr>
              <w:rFonts w:asciiTheme="minorHAnsi" w:hAnsiTheme="minorHAnsi"/>
              <w:noProof/>
            </w:rPr>
            <w:fldChar w:fldCharType="separate"/>
          </w:r>
          <w:r w:rsidR="006A354F" w:rsidRPr="006A354F">
            <w:rPr>
              <w:rFonts w:asciiTheme="minorHAnsi" w:hAnsiTheme="minorHAnsi"/>
              <w:noProof/>
            </w:rPr>
            <w:t>4</w:t>
          </w:r>
          <w:r w:rsidR="00BD270E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6A354F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181CB0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181CB0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013A0E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6A354F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BD270E">
            <w:rPr>
              <w:rFonts w:asciiTheme="minorHAnsi" w:hAnsiTheme="minorHAnsi"/>
              <w:noProof/>
            </w:rPr>
            <w:fldChar w:fldCharType="begin"/>
          </w:r>
          <w:r w:rsidR="00BD270E">
            <w:rPr>
              <w:rFonts w:asciiTheme="minorHAnsi" w:hAnsiTheme="minorHAnsi"/>
              <w:noProof/>
            </w:rPr>
            <w:instrText xml:space="preserve"> NUMPAGES  \* MERGEFORMAT </w:instrText>
          </w:r>
          <w:r w:rsidR="00BD270E">
            <w:rPr>
              <w:rFonts w:asciiTheme="minorHAnsi" w:hAnsiTheme="minorHAnsi"/>
              <w:noProof/>
            </w:rPr>
            <w:fldChar w:fldCharType="separate"/>
          </w:r>
          <w:r w:rsidR="006A354F" w:rsidRPr="006A354F">
            <w:rPr>
              <w:rFonts w:asciiTheme="minorHAnsi" w:hAnsiTheme="minorHAnsi"/>
              <w:noProof/>
            </w:rPr>
            <w:t>4</w:t>
          </w:r>
          <w:r w:rsidR="00BD270E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6A354F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181CB0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3D02E6"/>
    <w:multiLevelType w:val="hybridMultilevel"/>
    <w:tmpl w:val="FC7333D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584E66"/>
    <w:multiLevelType w:val="hybridMultilevel"/>
    <w:tmpl w:val="BA8C3C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72FC6"/>
    <w:multiLevelType w:val="hybridMultilevel"/>
    <w:tmpl w:val="F74CA0CA"/>
    <w:lvl w:ilvl="0" w:tplc="F6EA240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FA379"/>
    <w:multiLevelType w:val="hybridMultilevel"/>
    <w:tmpl w:val="CD189156"/>
    <w:lvl w:ilvl="0" w:tplc="F6EA2404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0666C"/>
    <w:rsid w:val="00010352"/>
    <w:rsid w:val="000114E3"/>
    <w:rsid w:val="00011DFF"/>
    <w:rsid w:val="00012767"/>
    <w:rsid w:val="00013A0E"/>
    <w:rsid w:val="00015875"/>
    <w:rsid w:val="00046063"/>
    <w:rsid w:val="00047E0F"/>
    <w:rsid w:val="00051851"/>
    <w:rsid w:val="000676CB"/>
    <w:rsid w:val="00072F71"/>
    <w:rsid w:val="00080A88"/>
    <w:rsid w:val="00090B26"/>
    <w:rsid w:val="00097170"/>
    <w:rsid w:val="000A2759"/>
    <w:rsid w:val="000A6A10"/>
    <w:rsid w:val="000B17EC"/>
    <w:rsid w:val="000B4D3D"/>
    <w:rsid w:val="000C04C7"/>
    <w:rsid w:val="000C4AD0"/>
    <w:rsid w:val="000D4E47"/>
    <w:rsid w:val="000E0D5D"/>
    <w:rsid w:val="000E3AC9"/>
    <w:rsid w:val="000E50E3"/>
    <w:rsid w:val="000F3530"/>
    <w:rsid w:val="000F4D65"/>
    <w:rsid w:val="00100FDC"/>
    <w:rsid w:val="00101E13"/>
    <w:rsid w:val="001101F1"/>
    <w:rsid w:val="00123992"/>
    <w:rsid w:val="001504AB"/>
    <w:rsid w:val="001516CD"/>
    <w:rsid w:val="00153501"/>
    <w:rsid w:val="00167279"/>
    <w:rsid w:val="00181CB0"/>
    <w:rsid w:val="00191D8A"/>
    <w:rsid w:val="0019376C"/>
    <w:rsid w:val="001A1351"/>
    <w:rsid w:val="001B5FE1"/>
    <w:rsid w:val="001C1BBD"/>
    <w:rsid w:val="001C2249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456BC"/>
    <w:rsid w:val="00247321"/>
    <w:rsid w:val="00250F08"/>
    <w:rsid w:val="002749C8"/>
    <w:rsid w:val="002769F1"/>
    <w:rsid w:val="00297368"/>
    <w:rsid w:val="002B7FA1"/>
    <w:rsid w:val="002C1CF4"/>
    <w:rsid w:val="002C29F0"/>
    <w:rsid w:val="002C4C2A"/>
    <w:rsid w:val="002C4EDA"/>
    <w:rsid w:val="002C574A"/>
    <w:rsid w:val="002C57F8"/>
    <w:rsid w:val="002E0D67"/>
    <w:rsid w:val="002F6D2D"/>
    <w:rsid w:val="003143D5"/>
    <w:rsid w:val="00323C05"/>
    <w:rsid w:val="0033668A"/>
    <w:rsid w:val="00344E3B"/>
    <w:rsid w:val="003539AA"/>
    <w:rsid w:val="00356E00"/>
    <w:rsid w:val="003635F5"/>
    <w:rsid w:val="00363F7D"/>
    <w:rsid w:val="00376CF2"/>
    <w:rsid w:val="003A5662"/>
    <w:rsid w:val="003B131D"/>
    <w:rsid w:val="003B65B2"/>
    <w:rsid w:val="003C230B"/>
    <w:rsid w:val="003C7DDC"/>
    <w:rsid w:val="003D3D1C"/>
    <w:rsid w:val="003F5240"/>
    <w:rsid w:val="003F7062"/>
    <w:rsid w:val="0040322A"/>
    <w:rsid w:val="004042DC"/>
    <w:rsid w:val="004056C6"/>
    <w:rsid w:val="00405774"/>
    <w:rsid w:val="00405E69"/>
    <w:rsid w:val="00406426"/>
    <w:rsid w:val="00407F90"/>
    <w:rsid w:val="004111D2"/>
    <w:rsid w:val="0041485E"/>
    <w:rsid w:val="00447299"/>
    <w:rsid w:val="00447EBD"/>
    <w:rsid w:val="00463852"/>
    <w:rsid w:val="00463CE9"/>
    <w:rsid w:val="004644A8"/>
    <w:rsid w:val="00465659"/>
    <w:rsid w:val="00473759"/>
    <w:rsid w:val="00474607"/>
    <w:rsid w:val="004A3B4A"/>
    <w:rsid w:val="004C5F7B"/>
    <w:rsid w:val="004D4B76"/>
    <w:rsid w:val="004E0843"/>
    <w:rsid w:val="00502B3C"/>
    <w:rsid w:val="00505E91"/>
    <w:rsid w:val="00522CC6"/>
    <w:rsid w:val="00523EAD"/>
    <w:rsid w:val="005253BF"/>
    <w:rsid w:val="005262F7"/>
    <w:rsid w:val="00530FBC"/>
    <w:rsid w:val="00533490"/>
    <w:rsid w:val="00536E3C"/>
    <w:rsid w:val="005402D1"/>
    <w:rsid w:val="00540570"/>
    <w:rsid w:val="00541FCA"/>
    <w:rsid w:val="00543742"/>
    <w:rsid w:val="00547A90"/>
    <w:rsid w:val="005647A8"/>
    <w:rsid w:val="00565426"/>
    <w:rsid w:val="00576479"/>
    <w:rsid w:val="00594B6A"/>
    <w:rsid w:val="005A4FB5"/>
    <w:rsid w:val="005A75E6"/>
    <w:rsid w:val="005B04BF"/>
    <w:rsid w:val="005C1E82"/>
    <w:rsid w:val="005C2A6A"/>
    <w:rsid w:val="005C50FF"/>
    <w:rsid w:val="005C5EFC"/>
    <w:rsid w:val="005C7CF9"/>
    <w:rsid w:val="00602275"/>
    <w:rsid w:val="006036EC"/>
    <w:rsid w:val="00605C27"/>
    <w:rsid w:val="00607E45"/>
    <w:rsid w:val="006138C1"/>
    <w:rsid w:val="00624F6F"/>
    <w:rsid w:val="00626FF8"/>
    <w:rsid w:val="006330C0"/>
    <w:rsid w:val="00663476"/>
    <w:rsid w:val="0066413E"/>
    <w:rsid w:val="00664ED1"/>
    <w:rsid w:val="006658CE"/>
    <w:rsid w:val="00666B34"/>
    <w:rsid w:val="006677E2"/>
    <w:rsid w:val="00677161"/>
    <w:rsid w:val="0068125E"/>
    <w:rsid w:val="006861CE"/>
    <w:rsid w:val="006A354F"/>
    <w:rsid w:val="006A552A"/>
    <w:rsid w:val="006D12F6"/>
    <w:rsid w:val="006D2669"/>
    <w:rsid w:val="006D3EEA"/>
    <w:rsid w:val="006E318F"/>
    <w:rsid w:val="006E5CD4"/>
    <w:rsid w:val="006E6461"/>
    <w:rsid w:val="00730505"/>
    <w:rsid w:val="007310E3"/>
    <w:rsid w:val="0073674B"/>
    <w:rsid w:val="00756427"/>
    <w:rsid w:val="00762575"/>
    <w:rsid w:val="0076688B"/>
    <w:rsid w:val="00771035"/>
    <w:rsid w:val="00773423"/>
    <w:rsid w:val="007825F9"/>
    <w:rsid w:val="00784D4F"/>
    <w:rsid w:val="00786D34"/>
    <w:rsid w:val="00792109"/>
    <w:rsid w:val="00797222"/>
    <w:rsid w:val="007A4BFF"/>
    <w:rsid w:val="007A7CD8"/>
    <w:rsid w:val="007C46E0"/>
    <w:rsid w:val="007C481A"/>
    <w:rsid w:val="007C5185"/>
    <w:rsid w:val="007D0406"/>
    <w:rsid w:val="0081603D"/>
    <w:rsid w:val="00820E06"/>
    <w:rsid w:val="0083084E"/>
    <w:rsid w:val="0084409A"/>
    <w:rsid w:val="0084434C"/>
    <w:rsid w:val="00851A7E"/>
    <w:rsid w:val="00856E95"/>
    <w:rsid w:val="008765DF"/>
    <w:rsid w:val="00877AF7"/>
    <w:rsid w:val="00887EA3"/>
    <w:rsid w:val="00893D63"/>
    <w:rsid w:val="008956CE"/>
    <w:rsid w:val="00897C3B"/>
    <w:rsid w:val="008A147E"/>
    <w:rsid w:val="008A16D0"/>
    <w:rsid w:val="008A6A48"/>
    <w:rsid w:val="008B6CB0"/>
    <w:rsid w:val="008C2B03"/>
    <w:rsid w:val="008D143D"/>
    <w:rsid w:val="008E03CB"/>
    <w:rsid w:val="008F5F42"/>
    <w:rsid w:val="009111A0"/>
    <w:rsid w:val="00916924"/>
    <w:rsid w:val="00926A38"/>
    <w:rsid w:val="00946C7B"/>
    <w:rsid w:val="00947A73"/>
    <w:rsid w:val="00964350"/>
    <w:rsid w:val="0097166F"/>
    <w:rsid w:val="009954D8"/>
    <w:rsid w:val="009A0B7E"/>
    <w:rsid w:val="009C2F30"/>
    <w:rsid w:val="009D1D7E"/>
    <w:rsid w:val="009D51B5"/>
    <w:rsid w:val="009E34D9"/>
    <w:rsid w:val="009E6815"/>
    <w:rsid w:val="009F03FB"/>
    <w:rsid w:val="009F6FBE"/>
    <w:rsid w:val="00A1365F"/>
    <w:rsid w:val="00A50CC6"/>
    <w:rsid w:val="00A67932"/>
    <w:rsid w:val="00A80381"/>
    <w:rsid w:val="00A80F9E"/>
    <w:rsid w:val="00A82DFE"/>
    <w:rsid w:val="00A83DA6"/>
    <w:rsid w:val="00AA376F"/>
    <w:rsid w:val="00AB78E3"/>
    <w:rsid w:val="00AD7B2E"/>
    <w:rsid w:val="00AE2C8C"/>
    <w:rsid w:val="00AF69EE"/>
    <w:rsid w:val="00B00F3E"/>
    <w:rsid w:val="00B16EE9"/>
    <w:rsid w:val="00B2112E"/>
    <w:rsid w:val="00B22B7D"/>
    <w:rsid w:val="00B237A2"/>
    <w:rsid w:val="00B24C48"/>
    <w:rsid w:val="00B46D94"/>
    <w:rsid w:val="00B5688E"/>
    <w:rsid w:val="00B746F6"/>
    <w:rsid w:val="00B75289"/>
    <w:rsid w:val="00B7532A"/>
    <w:rsid w:val="00B75723"/>
    <w:rsid w:val="00B81FC6"/>
    <w:rsid w:val="00B85E7F"/>
    <w:rsid w:val="00B91707"/>
    <w:rsid w:val="00BA3DB1"/>
    <w:rsid w:val="00BB2D58"/>
    <w:rsid w:val="00BB74B1"/>
    <w:rsid w:val="00BC2905"/>
    <w:rsid w:val="00BC5BA7"/>
    <w:rsid w:val="00BD270E"/>
    <w:rsid w:val="00BD7647"/>
    <w:rsid w:val="00BF186B"/>
    <w:rsid w:val="00C060E9"/>
    <w:rsid w:val="00C11EF7"/>
    <w:rsid w:val="00C215F0"/>
    <w:rsid w:val="00C27304"/>
    <w:rsid w:val="00C44B89"/>
    <w:rsid w:val="00C579D4"/>
    <w:rsid w:val="00C712F5"/>
    <w:rsid w:val="00C81A88"/>
    <w:rsid w:val="00C90CCA"/>
    <w:rsid w:val="00CA6F8A"/>
    <w:rsid w:val="00CB116E"/>
    <w:rsid w:val="00CB341B"/>
    <w:rsid w:val="00CC3836"/>
    <w:rsid w:val="00CC4FA1"/>
    <w:rsid w:val="00CC71D6"/>
    <w:rsid w:val="00CC73B9"/>
    <w:rsid w:val="00CD53DF"/>
    <w:rsid w:val="00CF4644"/>
    <w:rsid w:val="00D212BC"/>
    <w:rsid w:val="00D21D17"/>
    <w:rsid w:val="00D270A5"/>
    <w:rsid w:val="00D3561B"/>
    <w:rsid w:val="00D50DA7"/>
    <w:rsid w:val="00D56B21"/>
    <w:rsid w:val="00D60013"/>
    <w:rsid w:val="00D62798"/>
    <w:rsid w:val="00D6283C"/>
    <w:rsid w:val="00D67F3A"/>
    <w:rsid w:val="00D7790F"/>
    <w:rsid w:val="00D977FC"/>
    <w:rsid w:val="00DA4158"/>
    <w:rsid w:val="00DE173D"/>
    <w:rsid w:val="00DE4859"/>
    <w:rsid w:val="00DF3558"/>
    <w:rsid w:val="00DF3638"/>
    <w:rsid w:val="00E04B2F"/>
    <w:rsid w:val="00E169EE"/>
    <w:rsid w:val="00E21228"/>
    <w:rsid w:val="00E24D99"/>
    <w:rsid w:val="00E25124"/>
    <w:rsid w:val="00E63120"/>
    <w:rsid w:val="00E64F96"/>
    <w:rsid w:val="00E7592E"/>
    <w:rsid w:val="00E84A46"/>
    <w:rsid w:val="00E84D96"/>
    <w:rsid w:val="00E94A0B"/>
    <w:rsid w:val="00E97314"/>
    <w:rsid w:val="00EA07CB"/>
    <w:rsid w:val="00EA6533"/>
    <w:rsid w:val="00EB626B"/>
    <w:rsid w:val="00EC20B9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326FE"/>
    <w:rsid w:val="00F47101"/>
    <w:rsid w:val="00F62AA2"/>
    <w:rsid w:val="00F6614E"/>
    <w:rsid w:val="00F84784"/>
    <w:rsid w:val="00F85D26"/>
    <w:rsid w:val="00F93951"/>
    <w:rsid w:val="00FB0F4A"/>
    <w:rsid w:val="00FB212C"/>
    <w:rsid w:val="00FB4BA2"/>
    <w:rsid w:val="00FB7D90"/>
    <w:rsid w:val="00FC497B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FC31D863-6FC5-4ACC-B711-BA22FBCF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77E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327E-FEEE-43B5-A0A4-794850C2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16EC0BBA</Template>
  <TotalTime>0</TotalTime>
  <Pages>4</Pages>
  <Words>744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Julia Geborek Lundberg</cp:lastModifiedBy>
  <cp:revision>9</cp:revision>
  <cp:lastPrinted>2005-03-23T12:04:00Z</cp:lastPrinted>
  <dcterms:created xsi:type="dcterms:W3CDTF">2020-05-13T07:56:00Z</dcterms:created>
  <dcterms:modified xsi:type="dcterms:W3CDTF">2021-01-25T09:48:00Z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591880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