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0" w:rsidRDefault="008B6CB0">
      <w:pPr>
        <w:pStyle w:val="Rubrik1"/>
        <w:rPr>
          <w:lang w:val="en-US"/>
        </w:rPr>
      </w:pPr>
      <w:bookmarkStart w:id="0" w:name="Rubrik"/>
    </w:p>
    <w:p w:rsidR="008C2B03" w:rsidRDefault="002D3BE4">
      <w:pPr>
        <w:pStyle w:val="Rubrik1"/>
      </w:pPr>
      <w:r>
        <w:rPr>
          <w:lang w:val="en-US"/>
        </w:rPr>
        <w:fldChar w:fldCharType="begin">
          <w:ffData>
            <w:name w:val="Rubrik"/>
            <w:enabled/>
            <w:calcOnExit w:val="0"/>
            <w:textInput>
              <w:default w:val="Riktlinje, Huggormsbett - Barn"/>
            </w:textInput>
          </w:ffData>
        </w:fldChar>
      </w:r>
      <w:r w:rsidR="00BA3DB1" w:rsidRPr="00BA3DB1">
        <w:instrText xml:space="preserve"> FORMTEXT </w:instrText>
      </w:r>
      <w:r w:rsidR="005B50D6">
        <w:rPr>
          <w:lang w:val="en-US"/>
        </w:rPr>
      </w:r>
      <w:r>
        <w:rPr>
          <w:lang w:val="en-US"/>
        </w:rPr>
        <w:fldChar w:fldCharType="separate"/>
      </w:r>
      <w:r w:rsidR="005B50D6">
        <w:rPr>
          <w:lang w:val="en-US"/>
        </w:rPr>
        <w:t>Riktlinje, Huggormsbett - Barn</w:t>
      </w:r>
      <w:r>
        <w:rPr>
          <w:lang w:val="en-US"/>
        </w:rPr>
        <w:fldChar w:fldCharType="end"/>
      </w:r>
      <w:bookmarkEnd w:id="0"/>
      <w:r w:rsidR="005253BF" w:rsidRPr="00BA3DB1">
        <w:t xml:space="preserve"> </w:t>
      </w:r>
    </w:p>
    <w:p w:rsidR="001E33E1" w:rsidRDefault="001E33E1" w:rsidP="001E33E1"/>
    <w:p w:rsidR="003940FC" w:rsidRPr="00756622" w:rsidRDefault="003940FC" w:rsidP="003940FC">
      <w:pPr>
        <w:rPr>
          <w:b/>
        </w:rPr>
      </w:pPr>
      <w:r w:rsidRPr="00756622">
        <w:rPr>
          <w:b/>
        </w:rPr>
        <w:t>Definition</w:t>
      </w:r>
    </w:p>
    <w:p w:rsidR="003940FC" w:rsidRPr="00756622" w:rsidRDefault="003940FC" w:rsidP="003940FC">
      <w:pPr>
        <w:rPr>
          <w:sz w:val="20"/>
          <w:szCs w:val="20"/>
        </w:rPr>
      </w:pPr>
      <w:r w:rsidRPr="00756622">
        <w:rPr>
          <w:sz w:val="20"/>
          <w:szCs w:val="20"/>
        </w:rPr>
        <w:t>Toxisk reaktion på gift från huggormsbett.</w:t>
      </w:r>
    </w:p>
    <w:p w:rsidR="003940FC" w:rsidRPr="00756622" w:rsidRDefault="003940FC" w:rsidP="003940FC">
      <w:pPr>
        <w:rPr>
          <w:sz w:val="20"/>
          <w:szCs w:val="20"/>
        </w:rPr>
      </w:pPr>
    </w:p>
    <w:p w:rsidR="003940FC" w:rsidRPr="00756622" w:rsidRDefault="003940FC" w:rsidP="003940FC">
      <w:pPr>
        <w:rPr>
          <w:b/>
        </w:rPr>
      </w:pPr>
      <w:r w:rsidRPr="00756622">
        <w:rPr>
          <w:b/>
        </w:rPr>
        <w:t>Klinisk bild</w:t>
      </w:r>
    </w:p>
    <w:p w:rsidR="003940FC" w:rsidRPr="00756622" w:rsidRDefault="003940FC" w:rsidP="003940FC">
      <w:pPr>
        <w:autoSpaceDE w:val="0"/>
        <w:autoSpaceDN w:val="0"/>
        <w:adjustRightInd w:val="0"/>
        <w:rPr>
          <w:sz w:val="20"/>
          <w:szCs w:val="20"/>
        </w:rPr>
      </w:pPr>
      <w:r w:rsidRPr="00756622">
        <w:rPr>
          <w:sz w:val="20"/>
          <w:szCs w:val="20"/>
        </w:rPr>
        <w:t>Reaktionen efter huggormsbett varierar kraftigt, från endast bettmärken till svåra allmänsymtom och utveckling av utbredda hemorragiska ödem.</w:t>
      </w:r>
    </w:p>
    <w:p w:rsidR="003940FC" w:rsidRPr="00756622" w:rsidRDefault="003940FC" w:rsidP="003940FC">
      <w:pPr>
        <w:autoSpaceDE w:val="0"/>
        <w:autoSpaceDN w:val="0"/>
        <w:adjustRightInd w:val="0"/>
        <w:rPr>
          <w:sz w:val="20"/>
          <w:szCs w:val="20"/>
        </w:rPr>
      </w:pPr>
    </w:p>
    <w:p w:rsidR="003940FC" w:rsidRPr="00756622" w:rsidRDefault="003940FC" w:rsidP="003940FC">
      <w:pPr>
        <w:autoSpaceDE w:val="0"/>
        <w:autoSpaceDN w:val="0"/>
        <w:adjustRightInd w:val="0"/>
        <w:rPr>
          <w:sz w:val="20"/>
          <w:szCs w:val="20"/>
        </w:rPr>
      </w:pPr>
      <w:r w:rsidRPr="00756622">
        <w:rPr>
          <w:sz w:val="20"/>
          <w:szCs w:val="20"/>
        </w:rPr>
        <w:t>Barn utgör en riskgrupp, sannolikt för att den insprutade giftmängden blir större i relation till kroppsvikten, och bör därför övervakas på sjukhus.</w:t>
      </w:r>
    </w:p>
    <w:p w:rsidR="003940FC" w:rsidRPr="00756622" w:rsidRDefault="003940FC" w:rsidP="003940FC">
      <w:pPr>
        <w:autoSpaceDE w:val="0"/>
        <w:autoSpaceDN w:val="0"/>
        <w:adjustRightInd w:val="0"/>
        <w:rPr>
          <w:sz w:val="20"/>
          <w:szCs w:val="20"/>
        </w:rPr>
      </w:pPr>
    </w:p>
    <w:p w:rsidR="003940FC" w:rsidRPr="00756622" w:rsidRDefault="003940FC" w:rsidP="003940FC">
      <w:pPr>
        <w:autoSpaceDE w:val="0"/>
        <w:autoSpaceDN w:val="0"/>
        <w:adjustRightInd w:val="0"/>
        <w:rPr>
          <w:sz w:val="20"/>
          <w:szCs w:val="20"/>
        </w:rPr>
      </w:pPr>
      <w:r>
        <w:rPr>
          <w:sz w:val="20"/>
          <w:szCs w:val="20"/>
        </w:rPr>
        <w:t xml:space="preserve">Vid allvarliga reaktioner med allmänpåverkan förekommer blodtrycksfall, GI-symtom, CNS-depression, angioödem och/eller bronkospasm. Dessa symtom inträder oftast tidigt inom några minuter till ett par timmar. Koagulationspåverkan kan ses med lågt TPK, förhöjt PK-INR samt lindrig hemolys. </w:t>
      </w:r>
      <w:r w:rsidRPr="00756622">
        <w:rPr>
          <w:sz w:val="20"/>
          <w:szCs w:val="20"/>
        </w:rPr>
        <w:t>Utveckling av angioödem kan innebära risk för luftvägsobstruktion. Den lokala vävnadsskadan, som till en början kan te sig ganska oskyldig, fortsätter ofta att progrediera under 2 - 3 (5) dygn och den kan komma att omfatta inte bara biten extremitet utan även delar av bålen. En utbredd svullnad utgör en särskild risk för små barn och flera fall av lungödem har inträffat när extravasal vätska börjat resorberas. Kraftiga lokalreaktioner åtföljs nästan undantagslöst av anemi.</w:t>
      </w:r>
      <w:r>
        <w:rPr>
          <w:sz w:val="20"/>
          <w:szCs w:val="20"/>
        </w:rPr>
        <w:t xml:space="preserve"> </w:t>
      </w:r>
      <w:r w:rsidRPr="00756622">
        <w:rPr>
          <w:sz w:val="20"/>
          <w:szCs w:val="20"/>
        </w:rPr>
        <w:t>Mikroskopisk hematuri är vanligt. Allvarligare njurpåverkan ses endast sekundärt till cirkulationssvikt, rhabdomyolys och hemolys. Sequelae i form av kvarstående eller återkommande svullnad, smärta, stelhet, sensibilitets</w:t>
      </w:r>
      <w:r>
        <w:rPr>
          <w:sz w:val="20"/>
          <w:szCs w:val="20"/>
        </w:rPr>
        <w:t>-</w:t>
      </w:r>
      <w:r w:rsidRPr="00756622">
        <w:rPr>
          <w:sz w:val="20"/>
          <w:szCs w:val="20"/>
        </w:rPr>
        <w:t xml:space="preserve"> och hudgenomblödningsrubbningar kan förekomma.</w:t>
      </w:r>
    </w:p>
    <w:p w:rsidR="003940FC" w:rsidRPr="00756622" w:rsidRDefault="003940FC" w:rsidP="003940FC">
      <w:pPr>
        <w:rPr>
          <w:sz w:val="20"/>
          <w:szCs w:val="20"/>
        </w:rPr>
      </w:pPr>
    </w:p>
    <w:p w:rsidR="003940FC" w:rsidRPr="00756622" w:rsidRDefault="003940FC" w:rsidP="003940FC">
      <w:pPr>
        <w:autoSpaceDE w:val="0"/>
        <w:autoSpaceDN w:val="0"/>
        <w:adjustRightInd w:val="0"/>
        <w:rPr>
          <w:b/>
          <w:bCs/>
          <w:sz w:val="20"/>
          <w:szCs w:val="20"/>
        </w:rPr>
      </w:pPr>
      <w:r w:rsidRPr="008539AF">
        <w:rPr>
          <w:b/>
          <w:bCs/>
        </w:rPr>
        <w:t>Initialt omhändertagande</w:t>
      </w:r>
    </w:p>
    <w:p w:rsidR="003940FC" w:rsidRPr="00A50E36" w:rsidRDefault="003940FC" w:rsidP="003940FC">
      <w:pPr>
        <w:pStyle w:val="Liststycke"/>
        <w:numPr>
          <w:ilvl w:val="0"/>
          <w:numId w:val="3"/>
        </w:numPr>
      </w:pPr>
      <w:r w:rsidRPr="008539AF">
        <w:rPr>
          <w:sz w:val="20"/>
          <w:szCs w:val="20"/>
        </w:rPr>
        <w:t>Patienten bör ligga ner och vila. Den bitna kroppsdelen bör hållas stilla och placeras i högläge.</w:t>
      </w:r>
      <w:r w:rsidRPr="00A50E36">
        <w:t xml:space="preserve"> </w:t>
      </w:r>
    </w:p>
    <w:p w:rsidR="003940FC" w:rsidRPr="008539AF" w:rsidRDefault="003940FC" w:rsidP="003940FC">
      <w:pPr>
        <w:pStyle w:val="Liststycke"/>
        <w:numPr>
          <w:ilvl w:val="0"/>
          <w:numId w:val="3"/>
        </w:numPr>
      </w:pPr>
      <w:r w:rsidRPr="008539AF">
        <w:rPr>
          <w:sz w:val="20"/>
          <w:szCs w:val="20"/>
        </w:rPr>
        <w:t xml:space="preserve">Bettstället lämnas helt i fred. </w:t>
      </w:r>
    </w:p>
    <w:p w:rsidR="003940FC" w:rsidRPr="00A50E36" w:rsidRDefault="003940FC" w:rsidP="003940FC">
      <w:pPr>
        <w:pStyle w:val="Liststycke"/>
        <w:numPr>
          <w:ilvl w:val="0"/>
          <w:numId w:val="1"/>
        </w:numPr>
      </w:pPr>
      <w:r w:rsidRPr="008539AF">
        <w:rPr>
          <w:sz w:val="20"/>
          <w:szCs w:val="20"/>
        </w:rPr>
        <w:t xml:space="preserve">Peroralt intag undvikes under de första timmarna. </w:t>
      </w:r>
    </w:p>
    <w:p w:rsidR="003940FC" w:rsidRPr="004E17EE" w:rsidRDefault="003940FC" w:rsidP="003940FC">
      <w:pPr>
        <w:rPr>
          <w:b/>
          <w:sz w:val="20"/>
          <w:szCs w:val="20"/>
        </w:rPr>
      </w:pPr>
    </w:p>
    <w:p w:rsidR="003940FC" w:rsidRPr="00756622" w:rsidRDefault="003940FC" w:rsidP="003940FC">
      <w:pPr>
        <w:rPr>
          <w:b/>
        </w:rPr>
      </w:pPr>
      <w:r w:rsidRPr="00756622">
        <w:rPr>
          <w:b/>
        </w:rPr>
        <w:t>Utredning</w:t>
      </w:r>
    </w:p>
    <w:p w:rsidR="003940FC" w:rsidRDefault="003940FC" w:rsidP="003940FC">
      <w:pPr>
        <w:autoSpaceDE w:val="0"/>
        <w:autoSpaceDN w:val="0"/>
        <w:adjustRightInd w:val="0"/>
        <w:rPr>
          <w:sz w:val="20"/>
          <w:szCs w:val="20"/>
        </w:rPr>
      </w:pPr>
      <w:r w:rsidRPr="004E17EE">
        <w:rPr>
          <w:sz w:val="20"/>
          <w:szCs w:val="20"/>
          <w:u w:val="single"/>
        </w:rPr>
        <w:t>Vid milda lokalsymtom</w:t>
      </w:r>
      <w:r>
        <w:rPr>
          <w:sz w:val="20"/>
          <w:szCs w:val="20"/>
        </w:rPr>
        <w:t xml:space="preserve">: </w:t>
      </w:r>
      <w:r w:rsidRPr="00756622">
        <w:rPr>
          <w:sz w:val="20"/>
          <w:szCs w:val="20"/>
        </w:rPr>
        <w:t>Blodstatus och urinsticka</w:t>
      </w:r>
      <w:r>
        <w:rPr>
          <w:sz w:val="20"/>
          <w:szCs w:val="20"/>
        </w:rPr>
        <w:t>.</w:t>
      </w:r>
    </w:p>
    <w:p w:rsidR="003940FC" w:rsidRPr="00756622" w:rsidRDefault="003940FC" w:rsidP="003940FC">
      <w:pPr>
        <w:autoSpaceDE w:val="0"/>
        <w:autoSpaceDN w:val="0"/>
        <w:adjustRightInd w:val="0"/>
        <w:rPr>
          <w:sz w:val="20"/>
          <w:szCs w:val="20"/>
        </w:rPr>
      </w:pPr>
      <w:r w:rsidRPr="004E17EE">
        <w:rPr>
          <w:sz w:val="20"/>
          <w:szCs w:val="20"/>
          <w:u w:val="single"/>
        </w:rPr>
        <w:t>Vid allmänsymtom och/eller uttalat eller progredierande ödem</w:t>
      </w:r>
      <w:r>
        <w:rPr>
          <w:sz w:val="20"/>
          <w:szCs w:val="20"/>
        </w:rPr>
        <w:t>:</w:t>
      </w:r>
      <w:r w:rsidRPr="00756622">
        <w:rPr>
          <w:sz w:val="20"/>
          <w:szCs w:val="20"/>
        </w:rPr>
        <w:t xml:space="preserve"> </w:t>
      </w:r>
      <w:r>
        <w:rPr>
          <w:sz w:val="20"/>
          <w:szCs w:val="20"/>
        </w:rPr>
        <w:t xml:space="preserve">Blodstatus, u-status, </w:t>
      </w:r>
      <w:r w:rsidRPr="00756622">
        <w:rPr>
          <w:sz w:val="20"/>
          <w:szCs w:val="20"/>
        </w:rPr>
        <w:t>syra-bas</w:t>
      </w:r>
      <w:r>
        <w:rPr>
          <w:sz w:val="20"/>
          <w:szCs w:val="20"/>
        </w:rPr>
        <w:t>status (blodgas),  Na, K, krea, ASAT, ALAT, PK-INR</w:t>
      </w:r>
      <w:r w:rsidRPr="00756622">
        <w:rPr>
          <w:sz w:val="20"/>
          <w:szCs w:val="20"/>
        </w:rPr>
        <w:t xml:space="preserve">, </w:t>
      </w:r>
      <w:r>
        <w:rPr>
          <w:sz w:val="20"/>
          <w:szCs w:val="20"/>
        </w:rPr>
        <w:t xml:space="preserve">CK, albumin, APTT, </w:t>
      </w:r>
      <w:r w:rsidRPr="00756622">
        <w:rPr>
          <w:sz w:val="20"/>
          <w:szCs w:val="20"/>
        </w:rPr>
        <w:t>haptoglobin</w:t>
      </w:r>
      <w:r>
        <w:rPr>
          <w:sz w:val="20"/>
          <w:szCs w:val="20"/>
        </w:rPr>
        <w:t xml:space="preserve">, LD. </w:t>
      </w:r>
      <w:r w:rsidRPr="00756622">
        <w:rPr>
          <w:sz w:val="20"/>
          <w:szCs w:val="20"/>
        </w:rPr>
        <w:t>EKG tas vid allmänsymtom.</w:t>
      </w:r>
    </w:p>
    <w:p w:rsidR="003940FC" w:rsidRPr="00756622" w:rsidRDefault="003940FC" w:rsidP="003940FC">
      <w:pPr>
        <w:rPr>
          <w:sz w:val="20"/>
          <w:szCs w:val="20"/>
        </w:rPr>
      </w:pPr>
    </w:p>
    <w:p w:rsidR="003940FC" w:rsidRPr="00756622" w:rsidRDefault="003940FC" w:rsidP="003940FC">
      <w:pPr>
        <w:autoSpaceDE w:val="0"/>
        <w:autoSpaceDN w:val="0"/>
        <w:adjustRightInd w:val="0"/>
        <w:rPr>
          <w:sz w:val="20"/>
          <w:szCs w:val="20"/>
        </w:rPr>
      </w:pPr>
      <w:r>
        <w:rPr>
          <w:b/>
        </w:rPr>
        <w:t>B</w:t>
      </w:r>
      <w:r w:rsidRPr="00756622">
        <w:rPr>
          <w:b/>
        </w:rPr>
        <w:t>ehandling</w:t>
      </w:r>
    </w:p>
    <w:p w:rsidR="003940FC" w:rsidRPr="00756622" w:rsidRDefault="003940FC" w:rsidP="003940FC">
      <w:pPr>
        <w:autoSpaceDE w:val="0"/>
        <w:autoSpaceDN w:val="0"/>
        <w:adjustRightInd w:val="0"/>
        <w:rPr>
          <w:b/>
          <w:bCs/>
          <w:sz w:val="20"/>
          <w:szCs w:val="20"/>
        </w:rPr>
      </w:pPr>
      <w:r>
        <w:rPr>
          <w:b/>
          <w:bCs/>
          <w:sz w:val="20"/>
          <w:szCs w:val="20"/>
        </w:rPr>
        <w:t>Vid tecken på allvarlig reaktion (</w:t>
      </w:r>
      <w:r w:rsidRPr="00756622">
        <w:rPr>
          <w:b/>
          <w:bCs/>
          <w:sz w:val="20"/>
          <w:szCs w:val="20"/>
        </w:rPr>
        <w:t>Hypotension</w:t>
      </w:r>
      <w:r>
        <w:rPr>
          <w:b/>
          <w:bCs/>
          <w:sz w:val="20"/>
          <w:szCs w:val="20"/>
        </w:rPr>
        <w:t>/</w:t>
      </w:r>
      <w:r w:rsidRPr="00756622">
        <w:rPr>
          <w:b/>
          <w:bCs/>
          <w:sz w:val="20"/>
          <w:szCs w:val="20"/>
        </w:rPr>
        <w:t>chock</w:t>
      </w:r>
      <w:r>
        <w:rPr>
          <w:b/>
          <w:bCs/>
          <w:sz w:val="20"/>
          <w:szCs w:val="20"/>
        </w:rPr>
        <w:t>, b</w:t>
      </w:r>
      <w:r w:rsidRPr="00756622">
        <w:rPr>
          <w:b/>
          <w:bCs/>
          <w:sz w:val="20"/>
          <w:szCs w:val="20"/>
        </w:rPr>
        <w:t xml:space="preserve">ronkospasm, </w:t>
      </w:r>
      <w:r>
        <w:rPr>
          <w:b/>
          <w:bCs/>
          <w:sz w:val="20"/>
          <w:szCs w:val="20"/>
        </w:rPr>
        <w:t>angioödem, urtikaria)</w:t>
      </w:r>
    </w:p>
    <w:p w:rsidR="003940FC" w:rsidRPr="004E17EE" w:rsidRDefault="003940FC" w:rsidP="003940FC">
      <w:pPr>
        <w:pStyle w:val="Liststycke"/>
        <w:numPr>
          <w:ilvl w:val="0"/>
          <w:numId w:val="2"/>
        </w:numPr>
        <w:autoSpaceDE w:val="0"/>
        <w:autoSpaceDN w:val="0"/>
        <w:adjustRightInd w:val="0"/>
        <w:rPr>
          <w:bCs/>
          <w:sz w:val="20"/>
          <w:szCs w:val="20"/>
        </w:rPr>
      </w:pPr>
      <w:r w:rsidRPr="004E17EE">
        <w:rPr>
          <w:bCs/>
          <w:sz w:val="20"/>
          <w:szCs w:val="20"/>
        </w:rPr>
        <w:t>Adrenalin 1mg/ml im 0,01ml/kg (max 0,5 ml)</w:t>
      </w:r>
      <w:r>
        <w:rPr>
          <w:bCs/>
          <w:sz w:val="20"/>
          <w:szCs w:val="20"/>
        </w:rPr>
        <w:t>, upprepas vb</w:t>
      </w:r>
    </w:p>
    <w:p w:rsidR="003940FC" w:rsidRPr="004E17EE" w:rsidRDefault="003940FC" w:rsidP="003940FC">
      <w:pPr>
        <w:pStyle w:val="Liststycke"/>
        <w:numPr>
          <w:ilvl w:val="0"/>
          <w:numId w:val="2"/>
        </w:numPr>
        <w:autoSpaceDE w:val="0"/>
        <w:autoSpaceDN w:val="0"/>
        <w:adjustRightInd w:val="0"/>
        <w:rPr>
          <w:bCs/>
          <w:sz w:val="20"/>
          <w:szCs w:val="20"/>
        </w:rPr>
      </w:pPr>
      <w:r w:rsidRPr="004E17EE">
        <w:rPr>
          <w:bCs/>
          <w:sz w:val="20"/>
          <w:szCs w:val="20"/>
        </w:rPr>
        <w:t>Betapred 4 mg/ml 1-2 ml iv, alt Solu-Cortef 100-200 mg iv</w:t>
      </w:r>
    </w:p>
    <w:p w:rsidR="003940FC" w:rsidRPr="004E17EE" w:rsidRDefault="003940FC" w:rsidP="003940FC">
      <w:pPr>
        <w:pStyle w:val="Liststycke"/>
        <w:numPr>
          <w:ilvl w:val="0"/>
          <w:numId w:val="2"/>
        </w:numPr>
        <w:autoSpaceDE w:val="0"/>
        <w:autoSpaceDN w:val="0"/>
        <w:adjustRightInd w:val="0"/>
        <w:rPr>
          <w:bCs/>
          <w:sz w:val="20"/>
          <w:szCs w:val="20"/>
        </w:rPr>
      </w:pPr>
      <w:r w:rsidRPr="004E17EE">
        <w:rPr>
          <w:bCs/>
          <w:sz w:val="20"/>
          <w:szCs w:val="20"/>
        </w:rPr>
        <w:t>Tavegyl 1 mg/ml 0,05 mg/kg iv (max 2 mg) – kan övervägas</w:t>
      </w:r>
    </w:p>
    <w:p w:rsidR="003940FC" w:rsidRPr="004E17EE" w:rsidRDefault="003940FC" w:rsidP="003940FC">
      <w:pPr>
        <w:pStyle w:val="Liststycke"/>
        <w:numPr>
          <w:ilvl w:val="0"/>
          <w:numId w:val="2"/>
        </w:numPr>
        <w:rPr>
          <w:bCs/>
          <w:sz w:val="20"/>
          <w:szCs w:val="20"/>
        </w:rPr>
      </w:pPr>
      <w:r w:rsidRPr="004E17EE">
        <w:rPr>
          <w:bCs/>
          <w:sz w:val="20"/>
          <w:szCs w:val="20"/>
        </w:rPr>
        <w:t>Ringer-Acetat 20 ml/kg som bolus</w:t>
      </w:r>
      <w:r>
        <w:rPr>
          <w:bCs/>
          <w:sz w:val="20"/>
          <w:szCs w:val="20"/>
        </w:rPr>
        <w:t xml:space="preserve"> vid hypotension</w:t>
      </w:r>
      <w:r w:rsidRPr="004E17EE">
        <w:rPr>
          <w:bCs/>
          <w:sz w:val="20"/>
          <w:szCs w:val="20"/>
        </w:rPr>
        <w:t>, upprepas vb</w:t>
      </w:r>
    </w:p>
    <w:p w:rsidR="003940FC" w:rsidRDefault="003940FC" w:rsidP="003940FC">
      <w:pPr>
        <w:pStyle w:val="Liststycke"/>
        <w:numPr>
          <w:ilvl w:val="0"/>
          <w:numId w:val="2"/>
        </w:numPr>
        <w:rPr>
          <w:sz w:val="20"/>
          <w:szCs w:val="20"/>
        </w:rPr>
      </w:pPr>
      <w:r w:rsidRPr="004E17EE">
        <w:rPr>
          <w:sz w:val="20"/>
          <w:szCs w:val="20"/>
        </w:rPr>
        <w:t>Inotropa läkemedel vid otillräcklig effekt, Noradrenalin (0,05-0,5 mikrogr/kg/min)</w:t>
      </w:r>
    </w:p>
    <w:p w:rsidR="003940FC" w:rsidRPr="004E17EE" w:rsidRDefault="003940FC" w:rsidP="003940FC">
      <w:pPr>
        <w:pStyle w:val="Liststycke"/>
        <w:numPr>
          <w:ilvl w:val="0"/>
          <w:numId w:val="2"/>
        </w:numPr>
        <w:rPr>
          <w:sz w:val="20"/>
          <w:szCs w:val="20"/>
        </w:rPr>
      </w:pPr>
      <w:r>
        <w:rPr>
          <w:sz w:val="20"/>
          <w:szCs w:val="20"/>
        </w:rPr>
        <w:t>Korrektion av syra-bas rubbningar</w:t>
      </w:r>
    </w:p>
    <w:p w:rsidR="003940FC" w:rsidRPr="00756622" w:rsidRDefault="003940FC" w:rsidP="003940FC">
      <w:pPr>
        <w:autoSpaceDE w:val="0"/>
        <w:autoSpaceDN w:val="0"/>
        <w:adjustRightInd w:val="0"/>
        <w:rPr>
          <w:sz w:val="20"/>
          <w:szCs w:val="20"/>
        </w:rPr>
      </w:pPr>
    </w:p>
    <w:p w:rsidR="003940FC" w:rsidRPr="00756622" w:rsidRDefault="003940FC" w:rsidP="003940FC">
      <w:pPr>
        <w:autoSpaceDE w:val="0"/>
        <w:autoSpaceDN w:val="0"/>
        <w:adjustRightInd w:val="0"/>
        <w:rPr>
          <w:b/>
        </w:rPr>
      </w:pPr>
      <w:r>
        <w:rPr>
          <w:b/>
        </w:rPr>
        <w:t>S</w:t>
      </w:r>
      <w:r w:rsidRPr="00756622">
        <w:rPr>
          <w:b/>
        </w:rPr>
        <w:t>pecifika antikroppar (serum)</w:t>
      </w:r>
    </w:p>
    <w:p w:rsidR="003940FC" w:rsidRPr="004E24BE" w:rsidRDefault="003940FC" w:rsidP="003940FC">
      <w:pPr>
        <w:autoSpaceDE w:val="0"/>
        <w:autoSpaceDN w:val="0"/>
        <w:adjustRightInd w:val="0"/>
        <w:rPr>
          <w:sz w:val="20"/>
          <w:szCs w:val="20"/>
        </w:rPr>
      </w:pPr>
      <w:r>
        <w:rPr>
          <w:sz w:val="20"/>
          <w:szCs w:val="20"/>
        </w:rPr>
        <w:t xml:space="preserve">Behandling med specifika antikroppar (serum) ges tidigt i förloppet och bör alltid övervägas om patienten har allmänsymtom och/eller en snabbt progredierande lokalreaktion. Ges på vid indikation till små barn. </w:t>
      </w:r>
      <w:r w:rsidRPr="00756622">
        <w:rPr>
          <w:sz w:val="20"/>
          <w:szCs w:val="20"/>
        </w:rPr>
        <w:t>I tveksamma fall stöder följande faktorer behandlingsindikationen: B-LPK &gt;15-20 x 10</w:t>
      </w:r>
      <w:r w:rsidRPr="00756622">
        <w:rPr>
          <w:sz w:val="20"/>
          <w:szCs w:val="20"/>
          <w:vertAlign w:val="superscript"/>
        </w:rPr>
        <w:t>9</w:t>
      </w:r>
      <w:r w:rsidRPr="00756622">
        <w:rPr>
          <w:sz w:val="20"/>
          <w:szCs w:val="20"/>
        </w:rPr>
        <w:t>/l, metabol acidos, hemolys, EKG-förändringar, koagulationsrubbningar.</w:t>
      </w:r>
      <w:r>
        <w:rPr>
          <w:sz w:val="20"/>
          <w:szCs w:val="20"/>
        </w:rPr>
        <w:t xml:space="preserve"> </w:t>
      </w:r>
      <w:r w:rsidRPr="004E24BE">
        <w:rPr>
          <w:sz w:val="20"/>
          <w:szCs w:val="20"/>
        </w:rPr>
        <w:t>Tidig tillförsel av serum är det enda som</w:t>
      </w:r>
    </w:p>
    <w:p w:rsidR="003940FC" w:rsidRPr="00756622" w:rsidRDefault="003940FC" w:rsidP="003940FC">
      <w:pPr>
        <w:autoSpaceDE w:val="0"/>
        <w:autoSpaceDN w:val="0"/>
        <w:adjustRightInd w:val="0"/>
        <w:rPr>
          <w:sz w:val="20"/>
          <w:szCs w:val="20"/>
        </w:rPr>
      </w:pPr>
      <w:r w:rsidRPr="004E24BE">
        <w:rPr>
          <w:sz w:val="20"/>
          <w:szCs w:val="20"/>
        </w:rPr>
        <w:t>effektivt kan påverka lokalreaktionens utbredning.</w:t>
      </w:r>
      <w:r>
        <w:rPr>
          <w:sz w:val="20"/>
          <w:szCs w:val="20"/>
        </w:rPr>
        <w:t xml:space="preserve"> </w:t>
      </w:r>
      <w:r w:rsidRPr="008539AF">
        <w:rPr>
          <w:b/>
          <w:sz w:val="20"/>
          <w:szCs w:val="20"/>
        </w:rPr>
        <w:t>RING GIC! 010-456 67 19.</w:t>
      </w:r>
    </w:p>
    <w:p w:rsidR="003940FC" w:rsidRPr="00A50E36" w:rsidRDefault="003940FC" w:rsidP="003940FC">
      <w:pPr>
        <w:autoSpaceDE w:val="0"/>
        <w:autoSpaceDN w:val="0"/>
        <w:adjustRightInd w:val="0"/>
        <w:rPr>
          <w:b/>
          <w:sz w:val="20"/>
          <w:szCs w:val="20"/>
        </w:rPr>
      </w:pPr>
    </w:p>
    <w:p w:rsidR="003940FC" w:rsidRDefault="003940FC" w:rsidP="003940FC">
      <w:pPr>
        <w:autoSpaceDE w:val="0"/>
        <w:autoSpaceDN w:val="0"/>
        <w:adjustRightInd w:val="0"/>
        <w:rPr>
          <w:sz w:val="20"/>
          <w:szCs w:val="20"/>
        </w:rPr>
      </w:pPr>
    </w:p>
    <w:p w:rsidR="003940FC" w:rsidRDefault="003940FC" w:rsidP="003940FC">
      <w:pPr>
        <w:autoSpaceDE w:val="0"/>
        <w:autoSpaceDN w:val="0"/>
        <w:adjustRightInd w:val="0"/>
        <w:rPr>
          <w:sz w:val="20"/>
          <w:szCs w:val="20"/>
        </w:rPr>
      </w:pPr>
    </w:p>
    <w:p w:rsidR="003940FC" w:rsidRPr="003940FC" w:rsidRDefault="003940FC" w:rsidP="003940FC">
      <w:pPr>
        <w:autoSpaceDE w:val="0"/>
        <w:autoSpaceDN w:val="0"/>
        <w:adjustRightInd w:val="0"/>
        <w:rPr>
          <w:sz w:val="20"/>
          <w:szCs w:val="20"/>
        </w:rPr>
      </w:pPr>
      <w:bookmarkStart w:id="1" w:name="_GoBack"/>
      <w:bookmarkEnd w:id="1"/>
      <w:r w:rsidRPr="00756622">
        <w:rPr>
          <w:sz w:val="20"/>
          <w:szCs w:val="20"/>
        </w:rPr>
        <w:lastRenderedPageBreak/>
        <w:t xml:space="preserve">Allmänsymtomen viker snabbt vid serumtillförsel. Cirkulationspåverkan viker </w:t>
      </w:r>
      <w:r>
        <w:rPr>
          <w:sz w:val="20"/>
          <w:szCs w:val="20"/>
        </w:rPr>
        <w:t xml:space="preserve">oftast </w:t>
      </w:r>
      <w:r w:rsidRPr="00756622">
        <w:rPr>
          <w:sz w:val="20"/>
          <w:szCs w:val="20"/>
        </w:rPr>
        <w:t>inom 1 timme, GI-symtom inom 2 h. Tidig tillförsel av serum är det enda som effektivt kan påverka lokalreaktionens utbredning.</w:t>
      </w:r>
    </w:p>
    <w:p w:rsidR="003940FC" w:rsidRDefault="003940FC" w:rsidP="003940FC">
      <w:pPr>
        <w:autoSpaceDE w:val="0"/>
        <w:autoSpaceDN w:val="0"/>
        <w:adjustRightInd w:val="0"/>
        <w:rPr>
          <w:bCs/>
          <w:sz w:val="20"/>
          <w:szCs w:val="20"/>
        </w:rPr>
      </w:pPr>
    </w:p>
    <w:p w:rsidR="003940FC" w:rsidRPr="004E17EE" w:rsidRDefault="003940FC" w:rsidP="003940FC">
      <w:pPr>
        <w:autoSpaceDE w:val="0"/>
        <w:autoSpaceDN w:val="0"/>
        <w:adjustRightInd w:val="0"/>
        <w:rPr>
          <w:bCs/>
          <w:sz w:val="20"/>
          <w:szCs w:val="20"/>
        </w:rPr>
      </w:pPr>
      <w:r w:rsidRPr="004E17EE">
        <w:rPr>
          <w:bCs/>
          <w:sz w:val="20"/>
          <w:szCs w:val="20"/>
        </w:rPr>
        <w:t>Två serum finns tillgängliga</w:t>
      </w:r>
      <w:r>
        <w:rPr>
          <w:bCs/>
          <w:sz w:val="20"/>
          <w:szCs w:val="20"/>
        </w:rPr>
        <w:t xml:space="preserve"> (2019), ViperaTAb (Fab-fragment från får) samt Viperfav (Fab-fragment från häst). Observera att preparaten har snarlika namn men olika dosering vilket medför förväxlingsrisk. </w:t>
      </w:r>
    </w:p>
    <w:p w:rsidR="003940FC" w:rsidRDefault="003940FC" w:rsidP="003940FC">
      <w:pPr>
        <w:autoSpaceDE w:val="0"/>
        <w:autoSpaceDN w:val="0"/>
        <w:adjustRightInd w:val="0"/>
        <w:rPr>
          <w:b/>
          <w:sz w:val="20"/>
          <w:szCs w:val="20"/>
        </w:rPr>
      </w:pPr>
    </w:p>
    <w:p w:rsidR="003940FC" w:rsidRPr="00756622" w:rsidRDefault="003940FC" w:rsidP="003940FC">
      <w:pPr>
        <w:autoSpaceDE w:val="0"/>
        <w:autoSpaceDN w:val="0"/>
        <w:adjustRightInd w:val="0"/>
        <w:rPr>
          <w:sz w:val="20"/>
          <w:szCs w:val="20"/>
        </w:rPr>
      </w:pPr>
      <w:r w:rsidRPr="004E17EE">
        <w:rPr>
          <w:b/>
          <w:sz w:val="20"/>
          <w:szCs w:val="20"/>
        </w:rPr>
        <w:t>ViperaTAb</w:t>
      </w:r>
      <w:r>
        <w:rPr>
          <w:b/>
          <w:sz w:val="20"/>
          <w:szCs w:val="20"/>
        </w:rPr>
        <w:t xml:space="preserve"> </w:t>
      </w:r>
      <w:r w:rsidRPr="00756622">
        <w:rPr>
          <w:sz w:val="20"/>
          <w:szCs w:val="20"/>
        </w:rPr>
        <w:t>Dosering till</w:t>
      </w:r>
      <w:r>
        <w:rPr>
          <w:sz w:val="20"/>
          <w:szCs w:val="20"/>
        </w:rPr>
        <w:t xml:space="preserve"> barn 200 mg. </w:t>
      </w:r>
    </w:p>
    <w:p w:rsidR="003940FC" w:rsidRDefault="003940FC" w:rsidP="003940FC">
      <w:pPr>
        <w:autoSpaceDE w:val="0"/>
        <w:autoSpaceDN w:val="0"/>
        <w:adjustRightInd w:val="0"/>
        <w:rPr>
          <w:sz w:val="20"/>
          <w:szCs w:val="20"/>
        </w:rPr>
      </w:pPr>
      <w:r w:rsidRPr="004E17EE">
        <w:rPr>
          <w:b/>
          <w:sz w:val="20"/>
          <w:szCs w:val="20"/>
        </w:rPr>
        <w:t>Viper</w:t>
      </w:r>
      <w:r>
        <w:rPr>
          <w:b/>
          <w:sz w:val="20"/>
          <w:szCs w:val="20"/>
        </w:rPr>
        <w:t xml:space="preserve">fav </w:t>
      </w:r>
      <w:r w:rsidRPr="004E17EE">
        <w:rPr>
          <w:sz w:val="20"/>
          <w:szCs w:val="20"/>
        </w:rPr>
        <w:t>1 ampull</w:t>
      </w:r>
      <w:r>
        <w:rPr>
          <w:sz w:val="20"/>
          <w:szCs w:val="20"/>
        </w:rPr>
        <w:t xml:space="preserve">. </w:t>
      </w:r>
    </w:p>
    <w:p w:rsidR="003940FC" w:rsidRPr="00756622" w:rsidRDefault="003940FC" w:rsidP="003940FC">
      <w:pPr>
        <w:autoSpaceDE w:val="0"/>
        <w:autoSpaceDN w:val="0"/>
        <w:adjustRightInd w:val="0"/>
        <w:rPr>
          <w:sz w:val="20"/>
          <w:szCs w:val="20"/>
        </w:rPr>
      </w:pPr>
      <w:r>
        <w:rPr>
          <w:sz w:val="20"/>
          <w:szCs w:val="20"/>
        </w:rPr>
        <w:t xml:space="preserve">Upprepad dos serum kan bli aktuell. </w:t>
      </w:r>
      <w:r w:rsidRPr="00756622">
        <w:rPr>
          <w:sz w:val="20"/>
          <w:szCs w:val="20"/>
        </w:rPr>
        <w:t xml:space="preserve">Indikation för en andra dos kan vara om allvarliga symtom återkommer efter initial förbättring av dos 1 eller </w:t>
      </w:r>
      <w:r>
        <w:rPr>
          <w:sz w:val="20"/>
          <w:szCs w:val="20"/>
        </w:rPr>
        <w:t>utebliven</w:t>
      </w:r>
      <w:r w:rsidRPr="00756622">
        <w:rPr>
          <w:sz w:val="20"/>
          <w:szCs w:val="20"/>
        </w:rPr>
        <w:t xml:space="preserve"> förbättra</w:t>
      </w:r>
      <w:r>
        <w:rPr>
          <w:sz w:val="20"/>
          <w:szCs w:val="20"/>
        </w:rPr>
        <w:t>ring</w:t>
      </w:r>
      <w:r w:rsidRPr="00756622">
        <w:rPr>
          <w:sz w:val="20"/>
          <w:szCs w:val="20"/>
        </w:rPr>
        <w:t xml:space="preserve"> av dos 1 inom 2 h</w:t>
      </w:r>
      <w:r w:rsidRPr="000075C1">
        <w:rPr>
          <w:b/>
          <w:sz w:val="20"/>
          <w:szCs w:val="20"/>
        </w:rPr>
        <w:t xml:space="preserve"> </w:t>
      </w:r>
      <w:r w:rsidRPr="008539AF">
        <w:rPr>
          <w:b/>
          <w:sz w:val="20"/>
          <w:szCs w:val="20"/>
        </w:rPr>
        <w:t>RING GIC! 010-456 67 19.</w:t>
      </w:r>
    </w:p>
    <w:p w:rsidR="003940FC" w:rsidRDefault="003940FC" w:rsidP="003940FC">
      <w:pPr>
        <w:autoSpaceDE w:val="0"/>
        <w:autoSpaceDN w:val="0"/>
        <w:adjustRightInd w:val="0"/>
        <w:rPr>
          <w:sz w:val="20"/>
          <w:szCs w:val="20"/>
        </w:rPr>
      </w:pPr>
    </w:p>
    <w:p w:rsidR="003940FC" w:rsidRPr="00756622" w:rsidRDefault="003940FC" w:rsidP="003940FC">
      <w:pPr>
        <w:autoSpaceDE w:val="0"/>
        <w:autoSpaceDN w:val="0"/>
        <w:adjustRightInd w:val="0"/>
        <w:rPr>
          <w:b/>
          <w:bCs/>
          <w:sz w:val="20"/>
          <w:szCs w:val="20"/>
        </w:rPr>
      </w:pPr>
      <w:r w:rsidRPr="00756622">
        <w:rPr>
          <w:b/>
          <w:bCs/>
          <w:sz w:val="20"/>
          <w:szCs w:val="20"/>
        </w:rPr>
        <w:t>Övrigt</w:t>
      </w:r>
    </w:p>
    <w:p w:rsidR="003940FC" w:rsidRDefault="003940FC" w:rsidP="003940FC">
      <w:pPr>
        <w:pStyle w:val="Liststycke"/>
        <w:numPr>
          <w:ilvl w:val="0"/>
          <w:numId w:val="1"/>
        </w:numPr>
        <w:autoSpaceDE w:val="0"/>
        <w:autoSpaceDN w:val="0"/>
        <w:adjustRightInd w:val="0"/>
        <w:rPr>
          <w:sz w:val="20"/>
          <w:szCs w:val="20"/>
        </w:rPr>
      </w:pPr>
      <w:r>
        <w:rPr>
          <w:sz w:val="20"/>
          <w:szCs w:val="20"/>
        </w:rPr>
        <w:t>Smärtlindring (opioider kan behövas)</w:t>
      </w:r>
    </w:p>
    <w:p w:rsidR="003940FC" w:rsidRPr="004E17EE" w:rsidRDefault="003940FC" w:rsidP="003940FC">
      <w:pPr>
        <w:pStyle w:val="Liststycke"/>
        <w:numPr>
          <w:ilvl w:val="0"/>
          <w:numId w:val="1"/>
        </w:numPr>
        <w:autoSpaceDE w:val="0"/>
        <w:autoSpaceDN w:val="0"/>
        <w:adjustRightInd w:val="0"/>
        <w:rPr>
          <w:sz w:val="20"/>
          <w:szCs w:val="20"/>
        </w:rPr>
      </w:pPr>
      <w:r w:rsidRPr="004E17EE">
        <w:rPr>
          <w:sz w:val="20"/>
          <w:szCs w:val="20"/>
        </w:rPr>
        <w:t xml:space="preserve">Sörj för god diures. </w:t>
      </w:r>
    </w:p>
    <w:p w:rsidR="003940FC" w:rsidRPr="004E17EE" w:rsidRDefault="003940FC" w:rsidP="003940FC">
      <w:pPr>
        <w:pStyle w:val="Liststycke"/>
        <w:numPr>
          <w:ilvl w:val="0"/>
          <w:numId w:val="1"/>
        </w:numPr>
        <w:autoSpaceDE w:val="0"/>
        <w:autoSpaceDN w:val="0"/>
        <w:adjustRightInd w:val="0"/>
        <w:rPr>
          <w:sz w:val="20"/>
          <w:szCs w:val="20"/>
        </w:rPr>
      </w:pPr>
      <w:r w:rsidRPr="004E17EE">
        <w:rPr>
          <w:sz w:val="20"/>
          <w:szCs w:val="20"/>
        </w:rPr>
        <w:t xml:space="preserve">Vid hemoglobinuri eller myoglobinuri, alkalisering av urinen. </w:t>
      </w:r>
    </w:p>
    <w:p w:rsidR="003940FC" w:rsidRDefault="003940FC" w:rsidP="003940FC">
      <w:pPr>
        <w:pStyle w:val="Liststycke"/>
        <w:numPr>
          <w:ilvl w:val="0"/>
          <w:numId w:val="1"/>
        </w:numPr>
        <w:autoSpaceDE w:val="0"/>
        <w:autoSpaceDN w:val="0"/>
        <w:adjustRightInd w:val="0"/>
        <w:rPr>
          <w:sz w:val="20"/>
          <w:szCs w:val="20"/>
        </w:rPr>
      </w:pPr>
      <w:r w:rsidRPr="004E17EE">
        <w:rPr>
          <w:sz w:val="20"/>
          <w:szCs w:val="20"/>
        </w:rPr>
        <w:t xml:space="preserve">I sällsynta fall kan färskfrusen plasma eller specifika koagulationsfaktorer behöva ges. </w:t>
      </w:r>
    </w:p>
    <w:p w:rsidR="003940FC" w:rsidRPr="004E17EE" w:rsidRDefault="003940FC" w:rsidP="003940FC">
      <w:pPr>
        <w:pStyle w:val="Liststycke"/>
        <w:numPr>
          <w:ilvl w:val="0"/>
          <w:numId w:val="1"/>
        </w:numPr>
        <w:autoSpaceDE w:val="0"/>
        <w:autoSpaceDN w:val="0"/>
        <w:adjustRightInd w:val="0"/>
        <w:rPr>
          <w:sz w:val="20"/>
          <w:szCs w:val="20"/>
        </w:rPr>
      </w:pPr>
      <w:r w:rsidRPr="004E17EE">
        <w:rPr>
          <w:sz w:val="20"/>
          <w:szCs w:val="20"/>
        </w:rPr>
        <w:t>Antibiotika ges endast vid sekundära infektionstecken.</w:t>
      </w:r>
    </w:p>
    <w:p w:rsidR="003940FC" w:rsidRPr="004E17EE" w:rsidRDefault="003940FC" w:rsidP="003940FC">
      <w:pPr>
        <w:pStyle w:val="Liststycke"/>
        <w:numPr>
          <w:ilvl w:val="0"/>
          <w:numId w:val="1"/>
        </w:numPr>
        <w:autoSpaceDE w:val="0"/>
        <w:autoSpaceDN w:val="0"/>
        <w:adjustRightInd w:val="0"/>
        <w:rPr>
          <w:sz w:val="20"/>
          <w:szCs w:val="20"/>
        </w:rPr>
      </w:pPr>
      <w:r w:rsidRPr="004E17EE">
        <w:rPr>
          <w:sz w:val="20"/>
          <w:szCs w:val="20"/>
        </w:rPr>
        <w:t>Tetanusprofylax ska övervägas</w:t>
      </w:r>
      <w:r w:rsidRPr="00A50E36">
        <w:rPr>
          <w:sz w:val="20"/>
          <w:szCs w:val="20"/>
        </w:rPr>
        <w:t xml:space="preserve"> om grundskydd saknas</w:t>
      </w:r>
      <w:r w:rsidRPr="004E17EE">
        <w:rPr>
          <w:sz w:val="20"/>
          <w:szCs w:val="20"/>
        </w:rPr>
        <w:t xml:space="preserve"> </w:t>
      </w:r>
    </w:p>
    <w:p w:rsidR="003940FC" w:rsidRPr="00A50E36" w:rsidRDefault="003940FC" w:rsidP="003940FC">
      <w:pPr>
        <w:pStyle w:val="Liststycke"/>
        <w:autoSpaceDE w:val="0"/>
        <w:autoSpaceDN w:val="0"/>
        <w:adjustRightInd w:val="0"/>
        <w:rPr>
          <w:sz w:val="20"/>
          <w:szCs w:val="20"/>
        </w:rPr>
      </w:pPr>
    </w:p>
    <w:p w:rsidR="003940FC" w:rsidRPr="004E17EE" w:rsidRDefault="003940FC" w:rsidP="003940FC">
      <w:pPr>
        <w:autoSpaceDE w:val="0"/>
        <w:autoSpaceDN w:val="0"/>
        <w:adjustRightInd w:val="0"/>
        <w:rPr>
          <w:b/>
        </w:rPr>
      </w:pPr>
      <w:r w:rsidRPr="004E17EE">
        <w:rPr>
          <w:b/>
        </w:rPr>
        <w:t>Övervakning</w:t>
      </w:r>
    </w:p>
    <w:p w:rsidR="003940FC" w:rsidRDefault="003940FC" w:rsidP="003940FC">
      <w:pPr>
        <w:autoSpaceDE w:val="0"/>
        <w:autoSpaceDN w:val="0"/>
        <w:adjustRightInd w:val="0"/>
        <w:rPr>
          <w:sz w:val="20"/>
          <w:szCs w:val="20"/>
        </w:rPr>
      </w:pPr>
      <w:r w:rsidRPr="00756622">
        <w:rPr>
          <w:sz w:val="20"/>
          <w:szCs w:val="20"/>
        </w:rPr>
        <w:t>Barn bör observeras på sjukhus i minst 24 timmar</w:t>
      </w:r>
      <w:r>
        <w:rPr>
          <w:sz w:val="20"/>
          <w:szCs w:val="20"/>
        </w:rPr>
        <w:t xml:space="preserve"> med övervakning av medvetandegrad, cirkulation och andning. Lokala symtom följs och dokumenteras gällande utbredning, missfärgning, konsistensökning, omfång samt tecken till ökat vävnadstryck, initialt varannan timme. </w:t>
      </w:r>
      <w:r w:rsidRPr="00756622">
        <w:rPr>
          <w:sz w:val="20"/>
          <w:szCs w:val="20"/>
        </w:rPr>
        <w:t xml:space="preserve">Om lokalreaktionen är mer än obetydlig och inte säkert stationär </w:t>
      </w:r>
      <w:r>
        <w:rPr>
          <w:sz w:val="20"/>
          <w:szCs w:val="20"/>
        </w:rPr>
        <w:t xml:space="preserve">samt då </w:t>
      </w:r>
      <w:r w:rsidRPr="00756622">
        <w:rPr>
          <w:sz w:val="20"/>
          <w:szCs w:val="20"/>
        </w:rPr>
        <w:t>mer uttalade eller långdragna allmänsymtom förekommit bör observationstiden förlängas.</w:t>
      </w:r>
      <w:r>
        <w:rPr>
          <w:sz w:val="20"/>
          <w:szCs w:val="20"/>
        </w:rPr>
        <w:t xml:space="preserve"> </w:t>
      </w:r>
      <w:r w:rsidRPr="004E17EE">
        <w:rPr>
          <w:sz w:val="20"/>
          <w:szCs w:val="20"/>
          <w:u w:val="single"/>
        </w:rPr>
        <w:t>Undantag:</w:t>
      </w:r>
      <w:r>
        <w:rPr>
          <w:sz w:val="20"/>
          <w:szCs w:val="20"/>
        </w:rPr>
        <w:t xml:space="preserve"> </w:t>
      </w:r>
      <w:r w:rsidRPr="00756622">
        <w:rPr>
          <w:sz w:val="20"/>
          <w:szCs w:val="20"/>
        </w:rPr>
        <w:t>Om ingen lokal reaktion alls visat sig efter 6</w:t>
      </w:r>
      <w:r>
        <w:rPr>
          <w:sz w:val="20"/>
          <w:szCs w:val="20"/>
        </w:rPr>
        <w:t>-8</w:t>
      </w:r>
      <w:r w:rsidRPr="00756622">
        <w:rPr>
          <w:sz w:val="20"/>
          <w:szCs w:val="20"/>
        </w:rPr>
        <w:t xml:space="preserve"> h </w:t>
      </w:r>
      <w:r>
        <w:rPr>
          <w:sz w:val="20"/>
          <w:szCs w:val="20"/>
        </w:rPr>
        <w:t xml:space="preserve">så </w:t>
      </w:r>
      <w:r w:rsidRPr="00756622">
        <w:rPr>
          <w:sz w:val="20"/>
          <w:szCs w:val="20"/>
        </w:rPr>
        <w:t>kan barnet gå hem. Inget gift har då injicerats.</w:t>
      </w:r>
    </w:p>
    <w:p w:rsidR="003940FC" w:rsidRPr="00756622" w:rsidRDefault="003940FC" w:rsidP="003940FC">
      <w:pPr>
        <w:autoSpaceDE w:val="0"/>
        <w:autoSpaceDN w:val="0"/>
        <w:adjustRightInd w:val="0"/>
        <w:rPr>
          <w:sz w:val="20"/>
          <w:szCs w:val="20"/>
        </w:rPr>
      </w:pPr>
    </w:p>
    <w:p w:rsidR="003940FC" w:rsidRPr="00756622" w:rsidRDefault="003940FC" w:rsidP="003940FC">
      <w:pPr>
        <w:autoSpaceDE w:val="0"/>
        <w:autoSpaceDN w:val="0"/>
        <w:adjustRightInd w:val="0"/>
        <w:rPr>
          <w:sz w:val="20"/>
          <w:szCs w:val="20"/>
        </w:rPr>
      </w:pPr>
    </w:p>
    <w:p w:rsidR="003940FC" w:rsidRDefault="003940FC" w:rsidP="003940FC">
      <w:pPr>
        <w:rPr>
          <w:b/>
        </w:rPr>
      </w:pPr>
      <w:r w:rsidRPr="004E17EE">
        <w:rPr>
          <w:b/>
        </w:rPr>
        <w:t>Referenser</w:t>
      </w:r>
    </w:p>
    <w:p w:rsidR="003940FC" w:rsidRPr="004E17EE" w:rsidRDefault="003940FC" w:rsidP="003940FC">
      <w:pPr>
        <w:pStyle w:val="Liststycke"/>
        <w:numPr>
          <w:ilvl w:val="0"/>
          <w:numId w:val="1"/>
        </w:numPr>
        <w:rPr>
          <w:sz w:val="20"/>
          <w:szCs w:val="20"/>
        </w:rPr>
      </w:pPr>
      <w:r w:rsidRPr="004E17EE">
        <w:rPr>
          <w:sz w:val="20"/>
          <w:szCs w:val="20"/>
        </w:rPr>
        <w:t xml:space="preserve">Giftinformationscentralen. Huggorm. Uppdaterad 190614. </w:t>
      </w:r>
      <w:hyperlink r:id="rId8" w:history="1">
        <w:r w:rsidRPr="004A5CF9">
          <w:rPr>
            <w:rStyle w:val="Hyperlnk"/>
            <w:sz w:val="20"/>
            <w:szCs w:val="20"/>
          </w:rPr>
          <w:t>https://giftinformation.se/lakare/substanser/huggorm/</w:t>
        </w:r>
      </w:hyperlink>
    </w:p>
    <w:p w:rsidR="003940FC" w:rsidRPr="004A5CF9" w:rsidRDefault="003940FC" w:rsidP="003940FC">
      <w:pPr>
        <w:pStyle w:val="Liststycke"/>
        <w:numPr>
          <w:ilvl w:val="0"/>
          <w:numId w:val="1"/>
        </w:numPr>
        <w:rPr>
          <w:sz w:val="20"/>
          <w:szCs w:val="20"/>
        </w:rPr>
      </w:pPr>
      <w:r w:rsidRPr="004E17EE">
        <w:rPr>
          <w:i/>
          <w:sz w:val="20"/>
          <w:szCs w:val="20"/>
        </w:rPr>
        <w:t>Uppdaterade riktlinjer för behandling av huggormsbett.</w:t>
      </w:r>
      <w:r w:rsidRPr="004E17EE">
        <w:rPr>
          <w:sz w:val="20"/>
          <w:szCs w:val="20"/>
        </w:rPr>
        <w:t xml:space="preserve"> </w:t>
      </w:r>
      <w:r w:rsidRPr="004A5CF9">
        <w:rPr>
          <w:sz w:val="20"/>
          <w:szCs w:val="20"/>
        </w:rPr>
        <w:t>Personne M, Hultén P, A</w:t>
      </w:r>
      <w:r w:rsidRPr="004E17EE">
        <w:rPr>
          <w:sz w:val="20"/>
          <w:szCs w:val="20"/>
        </w:rPr>
        <w:t>rvidsson S. Läkartidningen. 2017;114:EMWP</w:t>
      </w:r>
    </w:p>
    <w:p w:rsidR="003940FC" w:rsidRPr="004A5CF9" w:rsidRDefault="003940FC" w:rsidP="003940FC">
      <w:pPr>
        <w:rPr>
          <w:sz w:val="20"/>
          <w:szCs w:val="20"/>
        </w:rPr>
      </w:pPr>
    </w:p>
    <w:p w:rsidR="003940FC" w:rsidRPr="004A5CF9" w:rsidRDefault="003940FC" w:rsidP="003940FC">
      <w:pPr>
        <w:rPr>
          <w:sz w:val="20"/>
          <w:szCs w:val="20"/>
        </w:rPr>
      </w:pPr>
    </w:p>
    <w:p w:rsidR="003940FC" w:rsidRPr="00756622" w:rsidRDefault="003940FC" w:rsidP="003940FC">
      <w:pPr>
        <w:rPr>
          <w:b/>
        </w:rPr>
      </w:pPr>
      <w:r w:rsidRPr="00756622">
        <w:rPr>
          <w:b/>
        </w:rPr>
        <w:t xml:space="preserve">ICD 10 kod </w:t>
      </w:r>
    </w:p>
    <w:p w:rsidR="003940FC" w:rsidRDefault="003940FC" w:rsidP="003940FC">
      <w:pPr>
        <w:rPr>
          <w:sz w:val="20"/>
          <w:szCs w:val="20"/>
        </w:rPr>
      </w:pPr>
      <w:r w:rsidRPr="00756622">
        <w:rPr>
          <w:sz w:val="20"/>
          <w:szCs w:val="20"/>
        </w:rPr>
        <w:t xml:space="preserve">T63.0 </w:t>
      </w:r>
      <w:r>
        <w:rPr>
          <w:sz w:val="20"/>
          <w:szCs w:val="20"/>
        </w:rPr>
        <w:t>Toxisk effekt av ormgift</w:t>
      </w:r>
    </w:p>
    <w:p w:rsidR="003940FC" w:rsidRDefault="003940FC" w:rsidP="003940FC">
      <w:pPr>
        <w:rPr>
          <w:b/>
          <w:sz w:val="28"/>
          <w:szCs w:val="28"/>
        </w:rPr>
      </w:pPr>
      <w:r>
        <w:rPr>
          <w:b/>
          <w:sz w:val="20"/>
          <w:szCs w:val="20"/>
        </w:rPr>
        <w:t xml:space="preserve">Författare: </w:t>
      </w:r>
      <w:r>
        <w:rPr>
          <w:sz w:val="20"/>
          <w:szCs w:val="20"/>
        </w:rPr>
        <w:t>Åsa Fowler</w:t>
      </w:r>
    </w:p>
    <w:p w:rsidR="003940FC" w:rsidRDefault="003940FC" w:rsidP="003940FC">
      <w:pPr>
        <w:widowControl/>
        <w:rPr>
          <w:b/>
          <w:sz w:val="28"/>
          <w:szCs w:val="28"/>
        </w:rPr>
      </w:pPr>
    </w:p>
    <w:p w:rsidR="003940FC" w:rsidRPr="004E17EE" w:rsidRDefault="003940FC" w:rsidP="003940FC">
      <w:pPr>
        <w:widowControl/>
        <w:rPr>
          <w:b/>
        </w:rPr>
      </w:pPr>
      <w:r w:rsidRPr="004E17EE">
        <w:rPr>
          <w:b/>
        </w:rPr>
        <w:t>Versionshistorik</w:t>
      </w:r>
    </w:p>
    <w:p w:rsidR="003940FC" w:rsidRDefault="003940FC" w:rsidP="003940FC">
      <w:r>
        <w:t>Varje dokument bör innehålla en historik som för varje version talar om vad som ändrats, vem som gjort ändringen och när ändringen gjordes.</w:t>
      </w:r>
    </w:p>
    <w:p w:rsidR="003940FC" w:rsidRDefault="003940FC" w:rsidP="003940FC">
      <w:pPr>
        <w:widowControl/>
      </w:pPr>
    </w:p>
    <w:tbl>
      <w:tblPr>
        <w:tblStyle w:val="Tabellrutnt"/>
        <w:tblW w:w="0" w:type="auto"/>
        <w:tblLook w:val="0020" w:firstRow="1" w:lastRow="0" w:firstColumn="0" w:lastColumn="0" w:noHBand="0" w:noVBand="0"/>
      </w:tblPr>
      <w:tblGrid>
        <w:gridCol w:w="1242"/>
        <w:gridCol w:w="1418"/>
        <w:gridCol w:w="4248"/>
        <w:gridCol w:w="2303"/>
      </w:tblGrid>
      <w:tr w:rsidR="003940FC" w:rsidRPr="0073674B" w:rsidTr="004E17EE">
        <w:tc>
          <w:tcPr>
            <w:tcW w:w="1242" w:type="dxa"/>
            <w:shd w:val="clear" w:color="auto" w:fill="D9D9D9" w:themeFill="background1" w:themeFillShade="D9"/>
          </w:tcPr>
          <w:p w:rsidR="003940FC" w:rsidRPr="0073674B" w:rsidRDefault="003940FC" w:rsidP="004E17EE">
            <w:pPr>
              <w:spacing w:before="120" w:after="120"/>
              <w:jc w:val="both"/>
              <w:rPr>
                <w:b/>
                <w:bCs/>
              </w:rPr>
            </w:pPr>
            <w:r w:rsidRPr="0073674B">
              <w:rPr>
                <w:b/>
                <w:bCs/>
              </w:rPr>
              <w:t>Version</w:t>
            </w:r>
          </w:p>
        </w:tc>
        <w:tc>
          <w:tcPr>
            <w:tcW w:w="1418" w:type="dxa"/>
            <w:shd w:val="clear" w:color="auto" w:fill="D9D9D9" w:themeFill="background1" w:themeFillShade="D9"/>
          </w:tcPr>
          <w:p w:rsidR="003940FC" w:rsidRPr="0073674B" w:rsidRDefault="003940FC" w:rsidP="004E17EE">
            <w:pPr>
              <w:spacing w:before="120" w:after="120"/>
              <w:jc w:val="both"/>
              <w:rPr>
                <w:b/>
                <w:bCs/>
              </w:rPr>
            </w:pPr>
            <w:r w:rsidRPr="0073674B">
              <w:rPr>
                <w:b/>
                <w:bCs/>
              </w:rPr>
              <w:t>Datum</w:t>
            </w:r>
          </w:p>
        </w:tc>
        <w:tc>
          <w:tcPr>
            <w:tcW w:w="4248" w:type="dxa"/>
            <w:shd w:val="clear" w:color="auto" w:fill="D9D9D9" w:themeFill="background1" w:themeFillShade="D9"/>
          </w:tcPr>
          <w:p w:rsidR="003940FC" w:rsidRPr="0073674B" w:rsidRDefault="003940FC" w:rsidP="004E17EE">
            <w:pPr>
              <w:spacing w:before="120" w:after="120"/>
              <w:jc w:val="both"/>
              <w:rPr>
                <w:b/>
                <w:bCs/>
              </w:rPr>
            </w:pPr>
            <w:r w:rsidRPr="0073674B">
              <w:rPr>
                <w:b/>
                <w:bCs/>
              </w:rPr>
              <w:t>Förändring och kommentar</w:t>
            </w:r>
          </w:p>
        </w:tc>
        <w:tc>
          <w:tcPr>
            <w:tcW w:w="2303" w:type="dxa"/>
            <w:shd w:val="clear" w:color="auto" w:fill="D9D9D9" w:themeFill="background1" w:themeFillShade="D9"/>
          </w:tcPr>
          <w:p w:rsidR="003940FC" w:rsidRPr="0073674B" w:rsidRDefault="003940FC" w:rsidP="004E17EE">
            <w:pPr>
              <w:spacing w:before="120" w:after="120"/>
              <w:jc w:val="both"/>
              <w:rPr>
                <w:b/>
                <w:bCs/>
              </w:rPr>
            </w:pPr>
            <w:r w:rsidRPr="0073674B">
              <w:rPr>
                <w:b/>
                <w:bCs/>
              </w:rPr>
              <w:t>Ansvarig</w:t>
            </w:r>
          </w:p>
        </w:tc>
      </w:tr>
      <w:tr w:rsidR="003940FC" w:rsidRPr="0073674B" w:rsidTr="004E17EE">
        <w:tc>
          <w:tcPr>
            <w:tcW w:w="1242" w:type="dxa"/>
          </w:tcPr>
          <w:p w:rsidR="003940FC" w:rsidRPr="0073674B" w:rsidRDefault="003940FC" w:rsidP="004E17EE">
            <w:r>
              <w:t>2</w:t>
            </w:r>
          </w:p>
        </w:tc>
        <w:tc>
          <w:tcPr>
            <w:tcW w:w="1418" w:type="dxa"/>
          </w:tcPr>
          <w:p w:rsidR="003940FC" w:rsidRPr="0073674B" w:rsidRDefault="003940FC" w:rsidP="004E17EE">
            <w:r>
              <w:t>161202</w:t>
            </w:r>
          </w:p>
        </w:tc>
        <w:tc>
          <w:tcPr>
            <w:tcW w:w="4248" w:type="dxa"/>
          </w:tcPr>
          <w:p w:rsidR="003940FC" w:rsidRPr="0073674B" w:rsidRDefault="003940FC" w:rsidP="004E17EE">
            <w:r>
              <w:t>Administrativ flytt till nytt FO</w:t>
            </w:r>
          </w:p>
        </w:tc>
        <w:tc>
          <w:tcPr>
            <w:tcW w:w="2303" w:type="dxa"/>
          </w:tcPr>
          <w:p w:rsidR="003940FC" w:rsidRPr="0073674B" w:rsidRDefault="003940FC" w:rsidP="004E17EE">
            <w:r>
              <w:t>Malin Ryd Rinder</w:t>
            </w:r>
          </w:p>
        </w:tc>
      </w:tr>
      <w:tr w:rsidR="003940FC" w:rsidRPr="0073674B" w:rsidTr="004E17EE">
        <w:tc>
          <w:tcPr>
            <w:tcW w:w="1242" w:type="dxa"/>
          </w:tcPr>
          <w:p w:rsidR="003940FC" w:rsidRDefault="003940FC" w:rsidP="004E17EE">
            <w:r>
              <w:t>3</w:t>
            </w:r>
          </w:p>
        </w:tc>
        <w:tc>
          <w:tcPr>
            <w:tcW w:w="1418" w:type="dxa"/>
          </w:tcPr>
          <w:p w:rsidR="003940FC" w:rsidRDefault="003940FC" w:rsidP="004E17EE">
            <w:r>
              <w:t>190926</w:t>
            </w:r>
          </w:p>
        </w:tc>
        <w:tc>
          <w:tcPr>
            <w:tcW w:w="4248" w:type="dxa"/>
          </w:tcPr>
          <w:p w:rsidR="003940FC" w:rsidRDefault="003940FC" w:rsidP="004E17EE">
            <w:r>
              <w:t>Uppdatering</w:t>
            </w:r>
          </w:p>
        </w:tc>
        <w:tc>
          <w:tcPr>
            <w:tcW w:w="2303" w:type="dxa"/>
          </w:tcPr>
          <w:p w:rsidR="003940FC" w:rsidRDefault="003940FC" w:rsidP="004E17EE">
            <w:r>
              <w:t>Mona-Lisa Engman</w:t>
            </w:r>
          </w:p>
        </w:tc>
      </w:tr>
      <w:tr w:rsidR="003940FC" w:rsidRPr="0073674B" w:rsidTr="004E17EE">
        <w:tc>
          <w:tcPr>
            <w:tcW w:w="1242" w:type="dxa"/>
          </w:tcPr>
          <w:p w:rsidR="003940FC" w:rsidRPr="0073674B" w:rsidRDefault="003940FC" w:rsidP="004E17EE">
            <w:r>
              <w:t>4</w:t>
            </w:r>
          </w:p>
        </w:tc>
        <w:tc>
          <w:tcPr>
            <w:tcW w:w="1418" w:type="dxa"/>
          </w:tcPr>
          <w:p w:rsidR="003940FC" w:rsidRPr="0073674B" w:rsidRDefault="003940FC" w:rsidP="004E17EE">
            <w:r>
              <w:t>200518</w:t>
            </w:r>
          </w:p>
        </w:tc>
        <w:tc>
          <w:tcPr>
            <w:tcW w:w="4248" w:type="dxa"/>
          </w:tcPr>
          <w:p w:rsidR="003940FC" w:rsidRPr="0073674B" w:rsidRDefault="003940FC" w:rsidP="004E17EE">
            <w:r>
              <w:t>Uppdatering enl nya riktlinjer</w:t>
            </w:r>
          </w:p>
        </w:tc>
        <w:tc>
          <w:tcPr>
            <w:tcW w:w="2303" w:type="dxa"/>
          </w:tcPr>
          <w:p w:rsidR="003940FC" w:rsidRPr="0073674B" w:rsidRDefault="003940FC" w:rsidP="004E17EE">
            <w:r>
              <w:t>Mona-Lisa Engman</w:t>
            </w:r>
          </w:p>
        </w:tc>
      </w:tr>
    </w:tbl>
    <w:p w:rsidR="005262F7" w:rsidRPr="006330C0" w:rsidRDefault="005262F7" w:rsidP="003940FC"/>
    <w:sectPr w:rsidR="005262F7" w:rsidRPr="006330C0" w:rsidSect="00051851">
      <w:headerReference w:type="default" r:id="rId9"/>
      <w:footerReference w:type="default" r:id="rId10"/>
      <w:headerReference w:type="first" r:id="rId11"/>
      <w:footerReference w:type="first" r:id="rId12"/>
      <w:pgSz w:w="11906" w:h="16838" w:code="9"/>
      <w:pgMar w:top="1985" w:right="847" w:bottom="1985" w:left="1985" w:header="783" w:footer="7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97E" w:rsidRDefault="00B3597E" w:rsidP="00F47081">
      <w:r>
        <w:separator/>
      </w:r>
    </w:p>
  </w:endnote>
  <w:endnote w:type="continuationSeparator" w:id="0">
    <w:p w:rsidR="00B3597E" w:rsidRDefault="00B3597E" w:rsidP="00F47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792109" w:rsidRPr="00BD7647" w:rsidTr="005C7CF9">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792109" w:rsidRPr="00BD7647" w:rsidRDefault="005B50D6" w:rsidP="005C7C25">
          <w:pPr>
            <w:tabs>
              <w:tab w:val="left" w:pos="5010"/>
              <w:tab w:val="left" w:pos="6663"/>
            </w:tabs>
            <w:rPr>
              <w:rFonts w:asciiTheme="minorHAnsi" w:hAnsiTheme="minorHAnsi"/>
              <w:sz w:val="16"/>
              <w:szCs w:val="16"/>
            </w:rPr>
          </w:pPr>
          <w:bookmarkStart w:id="5" w:name="handläggare_sf"/>
          <w:r>
            <w:rPr>
              <w:rFonts w:asciiTheme="minorHAnsi" w:hAnsiTheme="minorHAnsi"/>
              <w:sz w:val="16"/>
              <w:szCs w:val="16"/>
            </w:rPr>
            <w:t>Mona-Lisa Engman/Karolinska/SLL;Marie Hilmersson/SLL/SLL;Katharina Sundström/Karolinska/SLL</w:t>
          </w:r>
          <w:bookmarkEnd w:id="5"/>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792109" w:rsidRPr="00BD7647" w:rsidRDefault="005B50D6" w:rsidP="005C7C25">
          <w:pPr>
            <w:tabs>
              <w:tab w:val="left" w:pos="5010"/>
              <w:tab w:val="left" w:pos="6663"/>
            </w:tabs>
            <w:rPr>
              <w:rFonts w:asciiTheme="minorHAnsi" w:hAnsiTheme="minorHAnsi"/>
              <w:sz w:val="16"/>
              <w:szCs w:val="16"/>
            </w:rPr>
          </w:pPr>
          <w:bookmarkStart w:id="6" w:name="dokumentnr_sf"/>
          <w:bookmarkStart w:id="7" w:name="löpnummer_sf"/>
          <w:bookmarkEnd w:id="6"/>
          <w:r>
            <w:rPr>
              <w:rFonts w:asciiTheme="minorHAnsi" w:hAnsiTheme="minorHAnsi"/>
              <w:sz w:val="16"/>
              <w:szCs w:val="16"/>
            </w:rPr>
            <w:t>Kar1-1038</w:t>
          </w:r>
          <w:bookmarkEnd w:id="7"/>
        </w:p>
      </w:tc>
    </w:tr>
    <w:tr w:rsidR="00792109" w:rsidRPr="00BD7647" w:rsidTr="005C7CF9">
      <w:trPr>
        <w:trHeight w:val="73"/>
      </w:trPr>
      <w:tc>
        <w:tcPr>
          <w:tcW w:w="1101"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792109" w:rsidRPr="00BD7647" w:rsidRDefault="005B50D6" w:rsidP="005C7C25">
          <w:pPr>
            <w:tabs>
              <w:tab w:val="left" w:pos="5010"/>
              <w:tab w:val="left" w:pos="6663"/>
            </w:tabs>
            <w:rPr>
              <w:rFonts w:asciiTheme="minorHAnsi" w:hAnsiTheme="minorHAnsi"/>
              <w:sz w:val="16"/>
              <w:szCs w:val="16"/>
            </w:rPr>
          </w:pPr>
          <w:bookmarkStart w:id="8" w:name="fastställare_sf"/>
          <w:r>
            <w:rPr>
              <w:rFonts w:asciiTheme="minorHAnsi" w:hAnsiTheme="minorHAnsi"/>
              <w:sz w:val="16"/>
              <w:szCs w:val="16"/>
            </w:rPr>
            <w:t>Mona-Lisa Engman/Karolinska/SLL</w:t>
          </w:r>
          <w:bookmarkEnd w:id="8"/>
        </w:p>
      </w:tc>
      <w:tc>
        <w:tcPr>
          <w:tcW w:w="1276" w:type="dxa"/>
        </w:tcPr>
        <w:p w:rsidR="00792109" w:rsidRPr="00BD7647" w:rsidRDefault="00792109" w:rsidP="005C7C25">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792109" w:rsidRPr="00BD7647" w:rsidRDefault="005B50D6" w:rsidP="005C7C25">
          <w:pPr>
            <w:tabs>
              <w:tab w:val="left" w:pos="5010"/>
              <w:tab w:val="left" w:pos="6663"/>
            </w:tabs>
            <w:rPr>
              <w:rFonts w:asciiTheme="minorHAnsi" w:hAnsiTheme="minorHAnsi"/>
              <w:sz w:val="16"/>
              <w:szCs w:val="16"/>
            </w:rPr>
          </w:pPr>
          <w:bookmarkStart w:id="9" w:name="version_sf"/>
          <w:r>
            <w:rPr>
              <w:rFonts w:asciiTheme="minorHAnsi" w:hAnsiTheme="minorHAnsi"/>
              <w:sz w:val="16"/>
              <w:szCs w:val="16"/>
            </w:rPr>
            <w:t>4</w:t>
          </w:r>
          <w:bookmarkEnd w:id="9"/>
        </w:p>
      </w:tc>
    </w:tr>
    <w:tr w:rsidR="001C5ECA" w:rsidRPr="00BD7647" w:rsidTr="005C7CF9">
      <w:tc>
        <w:tcPr>
          <w:tcW w:w="1101" w:type="dxa"/>
        </w:tcPr>
        <w:p w:rsidR="001C5ECA" w:rsidRPr="00BD7647" w:rsidRDefault="001C5ECA"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1C5ECA" w:rsidRPr="00BD7647" w:rsidRDefault="001C5ECA" w:rsidP="005C7C25">
          <w:pPr>
            <w:tabs>
              <w:tab w:val="left" w:pos="5010"/>
              <w:tab w:val="left" w:pos="6663"/>
            </w:tabs>
            <w:rPr>
              <w:rFonts w:asciiTheme="minorHAnsi" w:hAnsiTheme="minorHAnsi"/>
              <w:sz w:val="16"/>
              <w:szCs w:val="16"/>
            </w:rPr>
          </w:pPr>
          <w:bookmarkStart w:id="10" w:name="organisation_sf"/>
          <w:bookmarkEnd w:id="10"/>
        </w:p>
      </w:tc>
      <w:tc>
        <w:tcPr>
          <w:tcW w:w="1276" w:type="dxa"/>
        </w:tcPr>
        <w:p w:rsidR="001C5ECA" w:rsidRPr="00792109" w:rsidRDefault="001C5ECA" w:rsidP="00E8302B">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r w:rsidR="008765DF">
            <w:rPr>
              <w:rFonts w:asciiTheme="minorHAnsi" w:hAnsiTheme="minorHAnsi"/>
              <w:sz w:val="16"/>
              <w:szCs w:val="16"/>
            </w:rPr>
            <w:t xml:space="preserve"> </w:t>
          </w:r>
        </w:p>
      </w:tc>
      <w:tc>
        <w:tcPr>
          <w:tcW w:w="1669" w:type="dxa"/>
        </w:tcPr>
        <w:p w:rsidR="001C5ECA" w:rsidRPr="00792109" w:rsidRDefault="005B50D6" w:rsidP="00E8302B">
          <w:pPr>
            <w:tabs>
              <w:tab w:val="left" w:pos="5010"/>
              <w:tab w:val="left" w:pos="6663"/>
            </w:tabs>
            <w:rPr>
              <w:rFonts w:asciiTheme="minorHAnsi" w:hAnsiTheme="minorHAnsi"/>
              <w:sz w:val="16"/>
              <w:szCs w:val="16"/>
            </w:rPr>
          </w:pPr>
          <w:bookmarkStart w:id="11" w:name="giltigdatum_sf"/>
          <w:r>
            <w:rPr>
              <w:rFonts w:asciiTheme="minorHAnsi" w:hAnsiTheme="minorHAnsi"/>
              <w:sz w:val="16"/>
              <w:szCs w:val="16"/>
            </w:rPr>
            <w:t>2020-05-18</w:t>
          </w:r>
          <w:bookmarkEnd w:id="11"/>
        </w:p>
      </w:tc>
    </w:tr>
    <w:tr w:rsidR="001C5ECA" w:rsidRPr="00BD7647" w:rsidTr="005C7CF9">
      <w:tc>
        <w:tcPr>
          <w:tcW w:w="1101" w:type="dxa"/>
        </w:tcPr>
        <w:p w:rsidR="001C5ECA" w:rsidRPr="00792109" w:rsidRDefault="001C5ECA" w:rsidP="005C7C25">
          <w:pPr>
            <w:tabs>
              <w:tab w:val="left" w:pos="5010"/>
              <w:tab w:val="left" w:pos="6663"/>
            </w:tabs>
            <w:rPr>
              <w:rFonts w:asciiTheme="minorHAnsi" w:hAnsiTheme="minorHAnsi"/>
              <w:sz w:val="16"/>
              <w:szCs w:val="16"/>
            </w:rPr>
          </w:pPr>
        </w:p>
      </w:tc>
      <w:tc>
        <w:tcPr>
          <w:tcW w:w="5244" w:type="dxa"/>
        </w:tcPr>
        <w:p w:rsidR="001C5ECA" w:rsidRPr="00792109" w:rsidRDefault="001C5ECA" w:rsidP="005C7C25">
          <w:pPr>
            <w:tabs>
              <w:tab w:val="left" w:pos="5010"/>
              <w:tab w:val="left" w:pos="6663"/>
            </w:tabs>
            <w:rPr>
              <w:rFonts w:asciiTheme="minorHAnsi" w:hAnsiTheme="minorHAnsi"/>
              <w:sz w:val="16"/>
              <w:szCs w:val="16"/>
            </w:rPr>
          </w:pPr>
        </w:p>
      </w:tc>
      <w:tc>
        <w:tcPr>
          <w:tcW w:w="1276" w:type="dxa"/>
        </w:tcPr>
        <w:p w:rsidR="001C5ECA" w:rsidRPr="00BD7647" w:rsidRDefault="001C5ECA" w:rsidP="005C7C25">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1C5ECA" w:rsidRPr="00BD7647" w:rsidRDefault="002D3BE4" w:rsidP="005C7C25">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1C5ECA">
            <w:rPr>
              <w:rFonts w:asciiTheme="minorHAnsi" w:hAnsiTheme="minorHAnsi"/>
              <w:sz w:val="16"/>
              <w:szCs w:val="16"/>
            </w:rPr>
            <w:instrText xml:space="preserve"> TIME \@ "yyyy-MM-dd" </w:instrText>
          </w:r>
          <w:r>
            <w:rPr>
              <w:rFonts w:asciiTheme="minorHAnsi" w:hAnsiTheme="minorHAnsi"/>
              <w:sz w:val="16"/>
              <w:szCs w:val="16"/>
            </w:rPr>
            <w:fldChar w:fldCharType="separate"/>
          </w:r>
          <w:r w:rsidR="005B50D6">
            <w:rPr>
              <w:rFonts w:asciiTheme="minorHAnsi" w:hAnsiTheme="minorHAnsi"/>
              <w:noProof/>
              <w:sz w:val="16"/>
              <w:szCs w:val="16"/>
            </w:rPr>
            <w:t>2020-05-18</w:t>
          </w:r>
          <w:r>
            <w:rPr>
              <w:rFonts w:asciiTheme="minorHAnsi" w:hAnsiTheme="minorHAnsi"/>
              <w:sz w:val="16"/>
              <w:szCs w:val="16"/>
            </w:rPr>
            <w:fldChar w:fldCharType="end"/>
          </w:r>
        </w:p>
      </w:tc>
    </w:tr>
  </w:tbl>
  <w:p w:rsidR="009A0B7E" w:rsidRDefault="009A0B7E" w:rsidP="00051851">
    <w:pPr>
      <w:rPr>
        <w:sz w:val="20"/>
        <w:szCs w:val="20"/>
      </w:rPr>
    </w:pPr>
  </w:p>
  <w:p w:rsidR="00051851" w:rsidRPr="00792109" w:rsidRDefault="00051851" w:rsidP="00051851">
    <w:pPr>
      <w:rPr>
        <w:rFonts w:asciiTheme="minorHAnsi" w:hAnsiTheme="minorHAnsi"/>
        <w:sz w:val="20"/>
        <w:szCs w:val="20"/>
      </w:rPr>
    </w:pPr>
    <w:r w:rsidRPr="00792109">
      <w:rPr>
        <w:rFonts w:asciiTheme="minorHAnsi" w:hAnsiTheme="minorHAnsi"/>
        <w:sz w:val="20"/>
        <w:szCs w:val="20"/>
      </w:rPr>
      <w:t>Kontrollera alltid att utskriven kopia är giltig. Ny version kan ha skapats sedan utskriften gjordes.</w:t>
    </w:r>
    <w:r w:rsidR="005B50D6">
      <w:rPr>
        <w:rFonts w:asciiTheme="minorHAnsi" w:hAnsiTheme="minorHAnsi"/>
        <w:noProof/>
        <w:sz w:val="20"/>
        <w:szCs w:val="20"/>
        <w:lang w:val="en-US" w:eastAsia="en-US"/>
      </w:rPr>
      <w:pict>
        <v:group id="_x0000_s2126" style="position:absolute;margin-left:533.35pt;margin-top:791.75pt;width:19.05pt;height:15.7pt;z-index:251662336;mso-position-horizontal-relative:page;mso-position-vertical-relative:page" coordorigin="10597,15761" coordsize="381,314">
          <v:shape id="_x0000_s2127" style="position:absolute;left:10800;top:15761;width:178;height:314" coordsize="178,314" path="m178,284r-15,l148,284r-19,l109,284,69,269,39,239,29,200r,-65l29,60,29,,,,,100,,200r5,44l29,279r40,25l109,314r39,l178,314r,-30xe" fillcolor="black" stroked="f" strokeweight="0">
            <v:path arrowok="t"/>
          </v:shape>
          <v:shape id="_x0000_s2128"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129" style="position:absolute;left:10597;top:15761;width:183;height:314" coordsize="183,314" path="m,284r15,l34,284r20,l69,284r40,-15l138,239r10,-39l148,135r,-75l148,r35,l183,100r,100l173,244r-25,35l114,304,69,314r-25,l19,314,,314,,284xe" fillcolor="black" stroked="f" strokeweight="0">
            <v:path arrowok="t"/>
          </v:shape>
          <v:shape id="_x0000_s2130"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
      <w:gridCol w:w="5244"/>
      <w:gridCol w:w="1276"/>
      <w:gridCol w:w="1669"/>
    </w:tblGrid>
    <w:tr w:rsidR="009A0B7E" w:rsidRPr="00BD7647" w:rsidTr="005C7CF9">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Handläggare:</w:t>
          </w:r>
        </w:p>
      </w:tc>
      <w:tc>
        <w:tcPr>
          <w:tcW w:w="5244" w:type="dxa"/>
        </w:tcPr>
        <w:p w:rsidR="009A0B7E" w:rsidRPr="00BD7647" w:rsidRDefault="005B50D6" w:rsidP="005C7C25">
          <w:pPr>
            <w:tabs>
              <w:tab w:val="left" w:pos="5010"/>
              <w:tab w:val="left" w:pos="6663"/>
            </w:tabs>
            <w:rPr>
              <w:rFonts w:asciiTheme="minorHAnsi" w:hAnsiTheme="minorHAnsi"/>
              <w:sz w:val="16"/>
              <w:szCs w:val="16"/>
            </w:rPr>
          </w:pPr>
          <w:bookmarkStart w:id="15" w:name="handläggare"/>
          <w:r>
            <w:rPr>
              <w:rFonts w:asciiTheme="minorHAnsi" w:hAnsiTheme="minorHAnsi"/>
              <w:sz w:val="16"/>
              <w:szCs w:val="16"/>
            </w:rPr>
            <w:t>Mona-Lisa Engman/Karolinska/SLL;Marie Hilmersson/SLL/SLL;Katharina Sundström/Karolinska/SLL</w:t>
          </w:r>
          <w:bookmarkEnd w:id="15"/>
        </w:p>
      </w:tc>
      <w:tc>
        <w:tcPr>
          <w:tcW w:w="1276" w:type="dxa"/>
        </w:tcPr>
        <w:p w:rsidR="009A0B7E" w:rsidRPr="00BD7647" w:rsidRDefault="009A0B7E" w:rsidP="009A0B7E">
          <w:pPr>
            <w:tabs>
              <w:tab w:val="left" w:pos="5010"/>
              <w:tab w:val="left" w:pos="6663"/>
            </w:tabs>
            <w:rPr>
              <w:rFonts w:asciiTheme="minorHAnsi" w:hAnsiTheme="minorHAnsi"/>
              <w:sz w:val="16"/>
              <w:szCs w:val="16"/>
            </w:rPr>
          </w:pPr>
          <w:r w:rsidRPr="00BD7647">
            <w:rPr>
              <w:rFonts w:asciiTheme="minorHAnsi" w:hAnsiTheme="minorHAnsi"/>
              <w:sz w:val="16"/>
              <w:szCs w:val="16"/>
            </w:rPr>
            <w:t>Dokumentnr:</w:t>
          </w:r>
          <w:r>
            <w:rPr>
              <w:rFonts w:asciiTheme="minorHAnsi" w:hAnsiTheme="minorHAnsi"/>
              <w:sz w:val="16"/>
              <w:szCs w:val="16"/>
            </w:rPr>
            <w:t xml:space="preserve"> </w:t>
          </w:r>
        </w:p>
      </w:tc>
      <w:tc>
        <w:tcPr>
          <w:tcW w:w="1669" w:type="dxa"/>
        </w:tcPr>
        <w:p w:rsidR="009A0B7E" w:rsidRPr="00BD7647" w:rsidRDefault="005B50D6" w:rsidP="00BD7647">
          <w:pPr>
            <w:tabs>
              <w:tab w:val="left" w:pos="5010"/>
              <w:tab w:val="left" w:pos="6663"/>
            </w:tabs>
            <w:rPr>
              <w:rFonts w:asciiTheme="minorHAnsi" w:hAnsiTheme="minorHAnsi"/>
              <w:sz w:val="16"/>
              <w:szCs w:val="16"/>
            </w:rPr>
          </w:pPr>
          <w:bookmarkStart w:id="16" w:name="löpnummer"/>
          <w:r>
            <w:rPr>
              <w:rFonts w:asciiTheme="minorHAnsi" w:hAnsiTheme="minorHAnsi"/>
              <w:sz w:val="16"/>
              <w:szCs w:val="16"/>
            </w:rPr>
            <w:t>Kar1-1038</w:t>
          </w:r>
          <w:bookmarkEnd w:id="16"/>
        </w:p>
      </w:tc>
    </w:tr>
    <w:tr w:rsidR="009A0B7E" w:rsidRPr="00BD7647" w:rsidTr="005C7CF9">
      <w:trPr>
        <w:trHeight w:val="73"/>
      </w:trPr>
      <w:tc>
        <w:tcPr>
          <w:tcW w:w="1101" w:type="dxa"/>
        </w:tcPr>
        <w:p w:rsidR="009A0B7E" w:rsidRPr="00BD7647" w:rsidRDefault="009A0B7E" w:rsidP="005C7C25">
          <w:pPr>
            <w:tabs>
              <w:tab w:val="left" w:pos="5010"/>
              <w:tab w:val="left" w:pos="6663"/>
            </w:tabs>
            <w:rPr>
              <w:rFonts w:asciiTheme="minorHAnsi" w:hAnsiTheme="minorHAnsi"/>
              <w:sz w:val="16"/>
              <w:szCs w:val="16"/>
            </w:rPr>
          </w:pPr>
          <w:r w:rsidRPr="00BD7647">
            <w:rPr>
              <w:rFonts w:asciiTheme="minorHAnsi" w:hAnsiTheme="minorHAnsi"/>
              <w:sz w:val="16"/>
              <w:szCs w:val="16"/>
            </w:rPr>
            <w:t>Fastställare:</w:t>
          </w:r>
        </w:p>
      </w:tc>
      <w:tc>
        <w:tcPr>
          <w:tcW w:w="5244" w:type="dxa"/>
        </w:tcPr>
        <w:p w:rsidR="009A0B7E" w:rsidRPr="00BD7647" w:rsidRDefault="005B50D6" w:rsidP="005C7C25">
          <w:pPr>
            <w:tabs>
              <w:tab w:val="left" w:pos="5010"/>
              <w:tab w:val="left" w:pos="6663"/>
            </w:tabs>
            <w:rPr>
              <w:rFonts w:asciiTheme="minorHAnsi" w:hAnsiTheme="minorHAnsi"/>
              <w:sz w:val="16"/>
              <w:szCs w:val="16"/>
            </w:rPr>
          </w:pPr>
          <w:bookmarkStart w:id="17" w:name="fastställare"/>
          <w:r>
            <w:rPr>
              <w:rFonts w:asciiTheme="minorHAnsi" w:hAnsiTheme="minorHAnsi"/>
              <w:sz w:val="16"/>
              <w:szCs w:val="16"/>
            </w:rPr>
            <w:t>Mona-Lisa Engman/Karolinska/SLL</w:t>
          </w:r>
          <w:bookmarkEnd w:id="17"/>
        </w:p>
      </w:tc>
      <w:tc>
        <w:tcPr>
          <w:tcW w:w="1276" w:type="dxa"/>
        </w:tcPr>
        <w:p w:rsidR="009A0B7E" w:rsidRPr="00BD7647" w:rsidRDefault="009A0B7E" w:rsidP="00BD7647">
          <w:pPr>
            <w:tabs>
              <w:tab w:val="left" w:pos="5010"/>
              <w:tab w:val="left" w:pos="6663"/>
            </w:tabs>
            <w:rPr>
              <w:rFonts w:asciiTheme="minorHAnsi" w:hAnsiTheme="minorHAnsi"/>
              <w:sz w:val="16"/>
              <w:szCs w:val="16"/>
            </w:rPr>
          </w:pPr>
          <w:r w:rsidRPr="00BD7647">
            <w:rPr>
              <w:rFonts w:asciiTheme="minorHAnsi" w:hAnsiTheme="minorHAnsi"/>
              <w:sz w:val="16"/>
              <w:szCs w:val="16"/>
            </w:rPr>
            <w:t>Version:</w:t>
          </w:r>
        </w:p>
      </w:tc>
      <w:tc>
        <w:tcPr>
          <w:tcW w:w="1669" w:type="dxa"/>
        </w:tcPr>
        <w:p w:rsidR="009A0B7E" w:rsidRPr="00BD7647" w:rsidRDefault="005B50D6" w:rsidP="00BD7647">
          <w:pPr>
            <w:tabs>
              <w:tab w:val="left" w:pos="5010"/>
              <w:tab w:val="left" w:pos="6663"/>
            </w:tabs>
            <w:rPr>
              <w:rFonts w:asciiTheme="minorHAnsi" w:hAnsiTheme="minorHAnsi"/>
              <w:sz w:val="16"/>
              <w:szCs w:val="16"/>
            </w:rPr>
          </w:pPr>
          <w:bookmarkStart w:id="18" w:name="version"/>
          <w:r>
            <w:rPr>
              <w:rFonts w:asciiTheme="minorHAnsi" w:hAnsiTheme="minorHAnsi"/>
              <w:sz w:val="16"/>
              <w:szCs w:val="16"/>
            </w:rPr>
            <w:t>4</w:t>
          </w:r>
          <w:bookmarkEnd w:id="18"/>
        </w:p>
      </w:tc>
    </w:tr>
    <w:tr w:rsidR="009A0B7E" w:rsidRPr="00BD7647" w:rsidTr="005C7CF9">
      <w:tc>
        <w:tcPr>
          <w:tcW w:w="1101" w:type="dxa"/>
        </w:tcPr>
        <w:p w:rsidR="009A0B7E" w:rsidRPr="00BD7647" w:rsidRDefault="001A1351" w:rsidP="005C7C25">
          <w:pPr>
            <w:tabs>
              <w:tab w:val="left" w:pos="5010"/>
              <w:tab w:val="left" w:pos="6663"/>
            </w:tabs>
            <w:rPr>
              <w:rFonts w:asciiTheme="minorHAnsi" w:hAnsiTheme="minorHAnsi"/>
              <w:sz w:val="16"/>
              <w:szCs w:val="16"/>
            </w:rPr>
          </w:pPr>
          <w:r>
            <w:rPr>
              <w:rFonts w:asciiTheme="minorHAnsi" w:hAnsiTheme="minorHAnsi"/>
              <w:sz w:val="16"/>
              <w:szCs w:val="16"/>
            </w:rPr>
            <w:t>Organisation:</w:t>
          </w:r>
        </w:p>
      </w:tc>
      <w:tc>
        <w:tcPr>
          <w:tcW w:w="5244" w:type="dxa"/>
        </w:tcPr>
        <w:p w:rsidR="009A0B7E" w:rsidRPr="00BD7647" w:rsidRDefault="009A0B7E" w:rsidP="005C7C25">
          <w:pPr>
            <w:tabs>
              <w:tab w:val="left" w:pos="5010"/>
              <w:tab w:val="left" w:pos="6663"/>
            </w:tabs>
            <w:rPr>
              <w:rFonts w:asciiTheme="minorHAnsi" w:hAnsiTheme="minorHAnsi"/>
              <w:sz w:val="16"/>
              <w:szCs w:val="16"/>
            </w:rPr>
          </w:pPr>
          <w:bookmarkStart w:id="19" w:name="Organisation"/>
          <w:bookmarkEnd w:id="19"/>
        </w:p>
      </w:tc>
      <w:tc>
        <w:tcPr>
          <w:tcW w:w="1276" w:type="dxa"/>
        </w:tcPr>
        <w:p w:rsidR="009A0B7E" w:rsidRPr="00BD7647" w:rsidRDefault="001E6A21" w:rsidP="005C7C25">
          <w:pPr>
            <w:tabs>
              <w:tab w:val="left" w:pos="5010"/>
              <w:tab w:val="left" w:pos="6663"/>
            </w:tabs>
            <w:rPr>
              <w:rFonts w:asciiTheme="minorHAnsi" w:hAnsiTheme="minorHAnsi"/>
              <w:sz w:val="16"/>
              <w:szCs w:val="16"/>
            </w:rPr>
          </w:pPr>
          <w:r w:rsidRPr="00792109">
            <w:rPr>
              <w:rFonts w:asciiTheme="minorHAnsi" w:hAnsiTheme="minorHAnsi"/>
              <w:sz w:val="16"/>
              <w:szCs w:val="16"/>
            </w:rPr>
            <w:t>Giltig fr o m:</w:t>
          </w:r>
        </w:p>
      </w:tc>
      <w:tc>
        <w:tcPr>
          <w:tcW w:w="1669" w:type="dxa"/>
        </w:tcPr>
        <w:p w:rsidR="009A0B7E" w:rsidRPr="00BD7647" w:rsidRDefault="005B50D6" w:rsidP="005C7C25">
          <w:pPr>
            <w:tabs>
              <w:tab w:val="left" w:pos="5010"/>
              <w:tab w:val="left" w:pos="6663"/>
            </w:tabs>
            <w:rPr>
              <w:rFonts w:asciiTheme="minorHAnsi" w:hAnsiTheme="minorHAnsi"/>
              <w:sz w:val="16"/>
              <w:szCs w:val="16"/>
            </w:rPr>
          </w:pPr>
          <w:bookmarkStart w:id="20" w:name="giltigdatum"/>
          <w:r>
            <w:rPr>
              <w:rFonts w:asciiTheme="minorHAnsi" w:hAnsiTheme="minorHAnsi"/>
              <w:sz w:val="16"/>
              <w:szCs w:val="16"/>
            </w:rPr>
            <w:t>2020-05-18</w:t>
          </w:r>
          <w:bookmarkEnd w:id="20"/>
        </w:p>
      </w:tc>
    </w:tr>
    <w:tr w:rsidR="009A0B7E" w:rsidRPr="00BD7647" w:rsidTr="005C7CF9">
      <w:tc>
        <w:tcPr>
          <w:tcW w:w="1101" w:type="dxa"/>
        </w:tcPr>
        <w:p w:rsidR="009A0B7E" w:rsidRPr="00792109" w:rsidRDefault="009A0B7E" w:rsidP="00BD7647">
          <w:pPr>
            <w:tabs>
              <w:tab w:val="left" w:pos="5010"/>
              <w:tab w:val="left" w:pos="6663"/>
            </w:tabs>
            <w:rPr>
              <w:rFonts w:asciiTheme="minorHAnsi" w:hAnsiTheme="minorHAnsi"/>
              <w:sz w:val="16"/>
              <w:szCs w:val="16"/>
            </w:rPr>
          </w:pPr>
        </w:p>
      </w:tc>
      <w:tc>
        <w:tcPr>
          <w:tcW w:w="5244" w:type="dxa"/>
        </w:tcPr>
        <w:p w:rsidR="009A0B7E" w:rsidRPr="00792109" w:rsidRDefault="009A0B7E" w:rsidP="00BD7647">
          <w:pPr>
            <w:tabs>
              <w:tab w:val="left" w:pos="5010"/>
              <w:tab w:val="left" w:pos="6663"/>
            </w:tabs>
            <w:rPr>
              <w:rFonts w:asciiTheme="minorHAnsi" w:hAnsiTheme="minorHAnsi"/>
              <w:sz w:val="16"/>
              <w:szCs w:val="16"/>
            </w:rPr>
          </w:pPr>
        </w:p>
      </w:tc>
      <w:tc>
        <w:tcPr>
          <w:tcW w:w="1276" w:type="dxa"/>
        </w:tcPr>
        <w:p w:rsidR="009A0B7E" w:rsidRPr="00BD7647" w:rsidRDefault="009A0B7E" w:rsidP="009A0B7E">
          <w:pPr>
            <w:tabs>
              <w:tab w:val="left" w:pos="5010"/>
              <w:tab w:val="left" w:pos="6663"/>
            </w:tabs>
            <w:rPr>
              <w:rFonts w:asciiTheme="minorHAnsi" w:hAnsiTheme="minorHAnsi"/>
              <w:b/>
              <w:sz w:val="16"/>
              <w:szCs w:val="16"/>
            </w:rPr>
          </w:pPr>
          <w:r>
            <w:rPr>
              <w:rFonts w:asciiTheme="minorHAnsi" w:hAnsiTheme="minorHAnsi"/>
              <w:sz w:val="16"/>
              <w:szCs w:val="16"/>
            </w:rPr>
            <w:t xml:space="preserve">Utskriftsdatum: </w:t>
          </w:r>
        </w:p>
      </w:tc>
      <w:tc>
        <w:tcPr>
          <w:tcW w:w="1669" w:type="dxa"/>
        </w:tcPr>
        <w:p w:rsidR="009A0B7E" w:rsidRPr="00BD7647" w:rsidRDefault="002D3BE4" w:rsidP="00BD7647">
          <w:pPr>
            <w:tabs>
              <w:tab w:val="left" w:pos="5010"/>
              <w:tab w:val="left" w:pos="6663"/>
            </w:tabs>
            <w:rPr>
              <w:rFonts w:asciiTheme="minorHAnsi" w:hAnsiTheme="minorHAnsi"/>
              <w:b/>
              <w:sz w:val="16"/>
              <w:szCs w:val="16"/>
            </w:rPr>
          </w:pPr>
          <w:r>
            <w:rPr>
              <w:rFonts w:asciiTheme="minorHAnsi" w:hAnsiTheme="minorHAnsi"/>
              <w:sz w:val="16"/>
              <w:szCs w:val="16"/>
            </w:rPr>
            <w:fldChar w:fldCharType="begin"/>
          </w:r>
          <w:r w:rsidR="009A0B7E">
            <w:rPr>
              <w:rFonts w:asciiTheme="minorHAnsi" w:hAnsiTheme="minorHAnsi"/>
              <w:sz w:val="16"/>
              <w:szCs w:val="16"/>
            </w:rPr>
            <w:instrText xml:space="preserve"> TIME \@ "yyyy-MM-dd" </w:instrText>
          </w:r>
          <w:r>
            <w:rPr>
              <w:rFonts w:asciiTheme="minorHAnsi" w:hAnsiTheme="minorHAnsi"/>
              <w:sz w:val="16"/>
              <w:szCs w:val="16"/>
            </w:rPr>
            <w:fldChar w:fldCharType="separate"/>
          </w:r>
          <w:r w:rsidR="005B50D6">
            <w:rPr>
              <w:rFonts w:asciiTheme="minorHAnsi" w:hAnsiTheme="minorHAnsi"/>
              <w:noProof/>
              <w:sz w:val="16"/>
              <w:szCs w:val="16"/>
            </w:rPr>
            <w:t>2020-05-18</w:t>
          </w:r>
          <w:r>
            <w:rPr>
              <w:rFonts w:asciiTheme="minorHAnsi" w:hAnsiTheme="minorHAnsi"/>
              <w:sz w:val="16"/>
              <w:szCs w:val="16"/>
            </w:rPr>
            <w:fldChar w:fldCharType="end"/>
          </w:r>
        </w:p>
      </w:tc>
    </w:tr>
  </w:tbl>
  <w:p w:rsidR="00BD7647" w:rsidRDefault="00BD7647">
    <w:pPr>
      <w:rPr>
        <w:sz w:val="20"/>
        <w:szCs w:val="20"/>
      </w:rPr>
    </w:pPr>
  </w:p>
  <w:p w:rsidR="008C2B03" w:rsidRPr="00123992" w:rsidRDefault="00D56B21">
    <w:pPr>
      <w:rPr>
        <w:rFonts w:asciiTheme="minorHAnsi" w:hAnsiTheme="minorHAnsi"/>
        <w:sz w:val="20"/>
        <w:szCs w:val="20"/>
      </w:rPr>
    </w:pPr>
    <w:r w:rsidRPr="00123992">
      <w:rPr>
        <w:rFonts w:asciiTheme="minorHAnsi" w:hAnsiTheme="minorHAnsi"/>
        <w:sz w:val="20"/>
        <w:szCs w:val="20"/>
      </w:rPr>
      <w:t>Kontrollera alltid att utskriven kopia är giltig. Ny version kan ha skapats sedan utskriften gjordes.</w:t>
    </w:r>
    <w:r w:rsidR="005B50D6">
      <w:rPr>
        <w:rFonts w:asciiTheme="minorHAnsi" w:hAnsiTheme="minorHAnsi"/>
        <w:noProof/>
        <w:sz w:val="20"/>
        <w:szCs w:val="20"/>
        <w:lang w:val="en-US" w:eastAsia="en-US"/>
      </w:rPr>
      <w:pict>
        <v:group id="_x0000_s2070" style="position:absolute;margin-left:533.35pt;margin-top:791.75pt;width:19.05pt;height:15.7pt;z-index:251656192;mso-position-horizontal-relative:page;mso-position-vertical-relative:page" coordorigin="10597,15761" coordsize="381,314">
          <v:shape id="_x0000_s2071" style="position:absolute;left:10800;top:15761;width:178;height:314" coordsize="178,314" path="m178,284r-15,l148,284r-19,l109,284,69,269,39,239,29,200r,-65l29,60,29,,,,,100,,200r5,44l29,279r40,25l109,314r39,l178,314r,-30xe" fillcolor="black" stroked="f" strokeweight="0">
            <v:path arrowok="t"/>
          </v:shape>
          <v:shape id="_x0000_s2072" style="position:absolute;left:10849;top:15761;width:129;height:264" coordsize="129,264" path="m129,229r-5,l114,229r-20,l80,229r-10,l60,229r-10,l40,224,30,210r,-10l30,175r,-50l30,70r,-45l30,,,,,40r,60l,155r,45l,219r10,15l25,249r15,10l60,264r15,l89,264r15,l119,264r10,l129,229xe" fillcolor="black" stroked="f" strokeweight="0">
            <v:path arrowok="t"/>
          </v:shape>
          <v:shape id="_x0000_s2073" style="position:absolute;left:10597;top:15761;width:183;height:314" coordsize="183,314" path="m,284r15,l34,284r20,l69,284r40,-15l138,239r10,-39l148,135r,-75l148,r35,l183,100r,100l173,244r-25,35l114,304,69,314r-25,l19,314,,314,,284xe" fillcolor="black" stroked="f" strokeweight="0">
            <v:path arrowok="t"/>
          </v:shape>
          <v:shape id="_x0000_s2074" style="position:absolute;left:10597;top:15761;width:133;height:264" coordsize="133,264" path="m,229r5,l19,229r15,l49,229r10,l69,229r10,l89,224,99,210r,-10l99,175r,-50l99,70r,-45l99,r34,l133,40r,60l133,155r,45l128,219r-9,15l104,249,89,259r-20,5l59,264r-20,l24,264r-14,l,264,,229xe" fillcolor="black" stroked="f" strokeweight="0">
            <v:path arrowok="t"/>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97E" w:rsidRDefault="00B3597E" w:rsidP="00F47081">
      <w:r>
        <w:separator/>
      </w:r>
    </w:p>
  </w:footnote>
  <w:footnote w:type="continuationSeparator" w:id="0">
    <w:p w:rsidR="00B3597E" w:rsidRDefault="00B3597E" w:rsidP="00F470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3867"/>
      <w:gridCol w:w="1346"/>
    </w:tblGrid>
    <w:tr w:rsidR="001C5ECA" w:rsidRPr="00123992" w:rsidTr="003D3D1C">
      <w:tc>
        <w:tcPr>
          <w:tcW w:w="4077" w:type="dxa"/>
        </w:tcPr>
        <w:p w:rsidR="001C5ECA" w:rsidRPr="00123992" w:rsidRDefault="00C579D4" w:rsidP="0000601D">
          <w:pPr>
            <w:tabs>
              <w:tab w:val="left" w:pos="5010"/>
              <w:tab w:val="left" w:pos="6663"/>
            </w:tabs>
            <w:rPr>
              <w:rFonts w:asciiTheme="minorHAnsi" w:hAnsiTheme="minorHAnsi"/>
            </w:rPr>
          </w:pPr>
          <w:r w:rsidRPr="00B5688E">
            <w:rPr>
              <w:rFonts w:asciiTheme="minorHAnsi" w:hAnsiTheme="minorHAnsi"/>
              <w:noProof/>
              <w:sz w:val="20"/>
              <w:szCs w:val="22"/>
            </w:rPr>
            <w:drawing>
              <wp:anchor distT="0" distB="0" distL="114300" distR="114300" simplePos="0" relativeHeight="251658240" behindDoc="0" locked="0" layoutInCell="1" allowOverlap="1">
                <wp:simplePos x="0" y="0"/>
                <wp:positionH relativeFrom="page">
                  <wp:posOffset>-271145</wp:posOffset>
                </wp:positionH>
                <wp:positionV relativeFrom="page">
                  <wp:posOffset>-141605</wp:posOffset>
                </wp:positionV>
                <wp:extent cx="314325" cy="447675"/>
                <wp:effectExtent l="19050" t="0" r="9525" b="0"/>
                <wp:wrapNone/>
                <wp:docPr id="87" name="Bild 8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K"/>
                        <pic:cNvPicPr>
                          <a:picLocks noChangeAspect="1" noChangeArrowheads="1"/>
                        </pic:cNvPicPr>
                      </pic:nvPicPr>
                      <pic:blipFill>
                        <a:blip r:embed="rId1"/>
                        <a:srcRect/>
                        <a:stretch>
                          <a:fillRect/>
                        </a:stretch>
                      </pic:blipFill>
                      <pic:spPr bwMode="auto">
                        <a:xfrm>
                          <a:off x="0" y="0"/>
                          <a:ext cx="314325" cy="447675"/>
                        </a:xfrm>
                        <a:prstGeom prst="rect">
                          <a:avLst/>
                        </a:prstGeom>
                        <a:noFill/>
                        <a:ln w="9525">
                          <a:noFill/>
                          <a:miter lim="800000"/>
                          <a:headEnd/>
                          <a:tailEnd/>
                        </a:ln>
                      </pic:spPr>
                    </pic:pic>
                  </a:graphicData>
                </a:graphic>
              </wp:anchor>
            </w:drawing>
          </w:r>
        </w:p>
      </w:tc>
      <w:tc>
        <w:tcPr>
          <w:tcW w:w="3867" w:type="dxa"/>
        </w:tcPr>
        <w:p w:rsidR="001C5ECA" w:rsidRPr="00123992" w:rsidRDefault="005B50D6" w:rsidP="0000601D">
          <w:pPr>
            <w:tabs>
              <w:tab w:val="left" w:pos="5010"/>
              <w:tab w:val="left" w:pos="6663"/>
            </w:tabs>
            <w:rPr>
              <w:rFonts w:asciiTheme="minorHAnsi" w:hAnsiTheme="minorHAnsi"/>
            </w:rPr>
          </w:pPr>
          <w:bookmarkStart w:id="2" w:name="Dokumenttyp_sf"/>
          <w:r>
            <w:rPr>
              <w:rFonts w:asciiTheme="minorHAnsi" w:hAnsiTheme="minorHAnsi"/>
            </w:rPr>
            <w:t>Styrande lokalt dokument</w:t>
          </w:r>
          <w:bookmarkEnd w:id="2"/>
        </w:p>
      </w:tc>
      <w:tc>
        <w:tcPr>
          <w:tcW w:w="1346" w:type="dxa"/>
        </w:tcPr>
        <w:p w:rsidR="001C5ECA" w:rsidRPr="00123992" w:rsidRDefault="002D3BE4" w:rsidP="0000601D">
          <w:pPr>
            <w:tabs>
              <w:tab w:val="left" w:pos="5010"/>
              <w:tab w:val="left" w:pos="6663"/>
            </w:tabs>
            <w:jc w:val="right"/>
            <w:rPr>
              <w:rFonts w:asciiTheme="minorHAnsi" w:hAnsiTheme="minorHAnsi"/>
            </w:rPr>
          </w:pPr>
          <w:r w:rsidRPr="00123992">
            <w:rPr>
              <w:rFonts w:asciiTheme="minorHAnsi" w:hAnsiTheme="minorHAnsi"/>
            </w:rPr>
            <w:fldChar w:fldCharType="begin"/>
          </w:r>
          <w:r w:rsidR="001C5ECA" w:rsidRPr="00123992">
            <w:rPr>
              <w:rFonts w:asciiTheme="minorHAnsi" w:hAnsiTheme="minorHAnsi"/>
            </w:rPr>
            <w:instrText xml:space="preserve"> PAGE  \* MERGEFORMAT </w:instrText>
          </w:r>
          <w:r w:rsidRPr="00123992">
            <w:rPr>
              <w:rFonts w:asciiTheme="minorHAnsi" w:hAnsiTheme="minorHAnsi"/>
            </w:rPr>
            <w:fldChar w:fldCharType="separate"/>
          </w:r>
          <w:r w:rsidR="00E47FDF">
            <w:rPr>
              <w:rFonts w:asciiTheme="minorHAnsi" w:hAnsiTheme="minorHAnsi"/>
              <w:noProof/>
            </w:rPr>
            <w:t>3</w:t>
          </w:r>
          <w:r w:rsidRPr="00123992">
            <w:rPr>
              <w:rFonts w:asciiTheme="minorHAnsi" w:hAnsiTheme="minorHAnsi"/>
            </w:rPr>
            <w:fldChar w:fldCharType="end"/>
          </w:r>
          <w:r w:rsidR="001C5ECA" w:rsidRPr="00123992">
            <w:rPr>
              <w:rFonts w:asciiTheme="minorHAnsi" w:hAnsiTheme="minorHAnsi"/>
            </w:rPr>
            <w:t xml:space="preserve"> (</w:t>
          </w:r>
          <w:r w:rsidR="00443CFB">
            <w:rPr>
              <w:rFonts w:asciiTheme="minorHAnsi" w:hAnsiTheme="minorHAnsi"/>
              <w:noProof/>
            </w:rPr>
            <w:fldChar w:fldCharType="begin"/>
          </w:r>
          <w:r w:rsidR="00443CFB">
            <w:rPr>
              <w:rFonts w:asciiTheme="minorHAnsi" w:hAnsiTheme="minorHAnsi"/>
              <w:noProof/>
            </w:rPr>
            <w:instrText xml:space="preserve"> NUMPAGES  \* MERGEFORMAT </w:instrText>
          </w:r>
          <w:r w:rsidR="00443CFB">
            <w:rPr>
              <w:rFonts w:asciiTheme="minorHAnsi" w:hAnsiTheme="minorHAnsi"/>
              <w:noProof/>
            </w:rPr>
            <w:fldChar w:fldCharType="separate"/>
          </w:r>
          <w:r w:rsidR="00E47FDF" w:rsidRPr="00E47FDF">
            <w:rPr>
              <w:rFonts w:asciiTheme="minorHAnsi" w:hAnsiTheme="minorHAnsi"/>
              <w:noProof/>
            </w:rPr>
            <w:t>3</w:t>
          </w:r>
          <w:r w:rsidR="00443CFB">
            <w:rPr>
              <w:rFonts w:asciiTheme="minorHAnsi" w:hAnsiTheme="minorHAnsi"/>
              <w:noProof/>
            </w:rPr>
            <w:fldChar w:fldCharType="end"/>
          </w:r>
          <w:r w:rsidR="001C5ECA" w:rsidRPr="00123992">
            <w:rPr>
              <w:rFonts w:asciiTheme="minorHAnsi" w:hAnsiTheme="minorHAnsi"/>
            </w:rPr>
            <w:t>)</w:t>
          </w:r>
        </w:p>
      </w:tc>
    </w:tr>
    <w:tr w:rsidR="001C5ECA" w:rsidRPr="00123992" w:rsidTr="003D3D1C">
      <w:tc>
        <w:tcPr>
          <w:tcW w:w="4077" w:type="dxa"/>
        </w:tcPr>
        <w:p w:rsidR="001C5ECA" w:rsidRPr="00123992" w:rsidRDefault="001C5ECA" w:rsidP="0000601D">
          <w:pPr>
            <w:tabs>
              <w:tab w:val="left" w:pos="5010"/>
              <w:tab w:val="left" w:pos="6663"/>
            </w:tabs>
            <w:rPr>
              <w:rFonts w:asciiTheme="minorHAnsi" w:hAnsiTheme="minorHAnsi"/>
              <w:noProof/>
            </w:rPr>
          </w:pPr>
        </w:p>
      </w:tc>
      <w:tc>
        <w:tcPr>
          <w:tcW w:w="3867" w:type="dxa"/>
        </w:tcPr>
        <w:p w:rsidR="001C5ECA" w:rsidRPr="00EC6562" w:rsidRDefault="008F5F42" w:rsidP="00850648">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3" w:name="status_sf"/>
          <w:r w:rsidR="005B50D6">
            <w:rPr>
              <w:rFonts w:asciiTheme="minorHAnsi" w:hAnsiTheme="minorHAnsi"/>
              <w:sz w:val="20"/>
              <w:szCs w:val="20"/>
            </w:rPr>
            <w:t>gällande</w:t>
          </w:r>
          <w:bookmarkEnd w:id="3"/>
        </w:p>
      </w:tc>
      <w:tc>
        <w:tcPr>
          <w:tcW w:w="1346" w:type="dxa"/>
        </w:tcPr>
        <w:p w:rsidR="001C5ECA" w:rsidRPr="00EC6562" w:rsidRDefault="001C5ECA" w:rsidP="0000601D">
          <w:pPr>
            <w:tabs>
              <w:tab w:val="left" w:pos="5010"/>
              <w:tab w:val="left" w:pos="6663"/>
            </w:tabs>
            <w:jc w:val="right"/>
            <w:rPr>
              <w:rFonts w:asciiTheme="minorHAnsi" w:hAnsiTheme="minorHAnsi"/>
              <w:sz w:val="20"/>
              <w:szCs w:val="20"/>
            </w:rPr>
          </w:pPr>
          <w:bookmarkStart w:id="4" w:name="arkiverat_sf"/>
          <w:bookmarkEnd w:id="4"/>
        </w:p>
      </w:tc>
    </w:tr>
  </w:tbl>
  <w:p w:rsidR="00B5688E" w:rsidRDefault="00B568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3583"/>
      <w:gridCol w:w="1346"/>
    </w:tblGrid>
    <w:tr w:rsidR="00363F7D" w:rsidRPr="00123992" w:rsidTr="008F5F42">
      <w:tc>
        <w:tcPr>
          <w:tcW w:w="4361" w:type="dxa"/>
        </w:tcPr>
        <w:p w:rsidR="00363F7D" w:rsidRPr="00123992" w:rsidRDefault="00363F7D" w:rsidP="00C579D4">
          <w:pPr>
            <w:tabs>
              <w:tab w:val="left" w:pos="5010"/>
              <w:tab w:val="left" w:pos="6663"/>
            </w:tabs>
            <w:rPr>
              <w:rFonts w:asciiTheme="minorHAnsi" w:hAnsiTheme="minorHAnsi"/>
            </w:rPr>
          </w:pPr>
          <w:r w:rsidRPr="00123992">
            <w:rPr>
              <w:rFonts w:asciiTheme="minorHAnsi" w:hAnsiTheme="minorHAnsi"/>
              <w:noProof/>
            </w:rPr>
            <w:drawing>
              <wp:anchor distT="0" distB="0" distL="114300" distR="114300" simplePos="0" relativeHeight="251666432" behindDoc="0" locked="0" layoutInCell="1" allowOverlap="1">
                <wp:simplePos x="0" y="0"/>
                <wp:positionH relativeFrom="page">
                  <wp:posOffset>-261620</wp:posOffset>
                </wp:positionH>
                <wp:positionV relativeFrom="page">
                  <wp:posOffset>-149386</wp:posOffset>
                </wp:positionV>
                <wp:extent cx="3020365" cy="721217"/>
                <wp:effectExtent l="19050" t="0" r="8585" b="0"/>
                <wp:wrapNone/>
                <wp:docPr id="3" name="Bild 90" descr="KUS S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KUS SWE"/>
                        <pic:cNvPicPr>
                          <a:picLocks noChangeAspect="1" noChangeArrowheads="1"/>
                        </pic:cNvPicPr>
                      </pic:nvPicPr>
                      <pic:blipFill>
                        <a:blip r:embed="rId1"/>
                        <a:srcRect/>
                        <a:stretch>
                          <a:fillRect/>
                        </a:stretch>
                      </pic:blipFill>
                      <pic:spPr bwMode="auto">
                        <a:xfrm>
                          <a:off x="0" y="0"/>
                          <a:ext cx="3020365" cy="721217"/>
                        </a:xfrm>
                        <a:prstGeom prst="rect">
                          <a:avLst/>
                        </a:prstGeom>
                        <a:noFill/>
                        <a:ln w="9525">
                          <a:noFill/>
                          <a:miter lim="800000"/>
                          <a:headEnd/>
                          <a:tailEnd/>
                        </a:ln>
                      </pic:spPr>
                    </pic:pic>
                  </a:graphicData>
                </a:graphic>
              </wp:anchor>
            </w:drawing>
          </w:r>
        </w:p>
      </w:tc>
      <w:tc>
        <w:tcPr>
          <w:tcW w:w="3583" w:type="dxa"/>
        </w:tcPr>
        <w:p w:rsidR="003A5662" w:rsidRPr="00123992" w:rsidRDefault="005B50D6" w:rsidP="00773423">
          <w:pPr>
            <w:tabs>
              <w:tab w:val="left" w:pos="5010"/>
              <w:tab w:val="left" w:pos="6663"/>
            </w:tabs>
            <w:rPr>
              <w:rFonts w:asciiTheme="minorHAnsi" w:hAnsiTheme="minorHAnsi"/>
            </w:rPr>
          </w:pPr>
          <w:bookmarkStart w:id="12" w:name="Dokumenttyp"/>
          <w:r>
            <w:rPr>
              <w:rFonts w:asciiTheme="minorHAnsi" w:hAnsiTheme="minorHAnsi"/>
            </w:rPr>
            <w:t>Styrande lokalt dokument</w:t>
          </w:r>
          <w:bookmarkEnd w:id="12"/>
        </w:p>
      </w:tc>
      <w:tc>
        <w:tcPr>
          <w:tcW w:w="1346" w:type="dxa"/>
        </w:tcPr>
        <w:p w:rsidR="00363F7D" w:rsidRPr="00123992" w:rsidRDefault="002D3BE4" w:rsidP="00762575">
          <w:pPr>
            <w:tabs>
              <w:tab w:val="left" w:pos="5010"/>
              <w:tab w:val="left" w:pos="6663"/>
            </w:tabs>
            <w:jc w:val="right"/>
            <w:rPr>
              <w:rFonts w:asciiTheme="minorHAnsi" w:hAnsiTheme="minorHAnsi"/>
            </w:rPr>
          </w:pPr>
          <w:r w:rsidRPr="00123992">
            <w:rPr>
              <w:rFonts w:asciiTheme="minorHAnsi" w:hAnsiTheme="minorHAnsi"/>
            </w:rPr>
            <w:fldChar w:fldCharType="begin"/>
          </w:r>
          <w:r w:rsidR="00376CF2" w:rsidRPr="00123992">
            <w:rPr>
              <w:rFonts w:asciiTheme="minorHAnsi" w:hAnsiTheme="minorHAnsi"/>
            </w:rPr>
            <w:instrText xml:space="preserve"> PAGE  \* MERGEFORMAT </w:instrText>
          </w:r>
          <w:r w:rsidRPr="00123992">
            <w:rPr>
              <w:rFonts w:asciiTheme="minorHAnsi" w:hAnsiTheme="minorHAnsi"/>
            </w:rPr>
            <w:fldChar w:fldCharType="separate"/>
          </w:r>
          <w:r w:rsidR="00E47FDF">
            <w:rPr>
              <w:rFonts w:asciiTheme="minorHAnsi" w:hAnsiTheme="minorHAnsi"/>
              <w:noProof/>
            </w:rPr>
            <w:t>1</w:t>
          </w:r>
          <w:r w:rsidRPr="00123992">
            <w:rPr>
              <w:rFonts w:asciiTheme="minorHAnsi" w:hAnsiTheme="minorHAnsi"/>
            </w:rPr>
            <w:fldChar w:fldCharType="end"/>
          </w:r>
          <w:r w:rsidR="00363F7D" w:rsidRPr="00123992">
            <w:rPr>
              <w:rFonts w:asciiTheme="minorHAnsi" w:hAnsiTheme="minorHAnsi"/>
            </w:rPr>
            <w:t xml:space="preserve"> (</w:t>
          </w:r>
          <w:r w:rsidR="00443CFB">
            <w:rPr>
              <w:rFonts w:asciiTheme="minorHAnsi" w:hAnsiTheme="minorHAnsi"/>
              <w:noProof/>
            </w:rPr>
            <w:fldChar w:fldCharType="begin"/>
          </w:r>
          <w:r w:rsidR="00443CFB">
            <w:rPr>
              <w:rFonts w:asciiTheme="minorHAnsi" w:hAnsiTheme="minorHAnsi"/>
              <w:noProof/>
            </w:rPr>
            <w:instrText xml:space="preserve"> NUMPAGES  \* MERGEFORMAT </w:instrText>
          </w:r>
          <w:r w:rsidR="00443CFB">
            <w:rPr>
              <w:rFonts w:asciiTheme="minorHAnsi" w:hAnsiTheme="minorHAnsi"/>
              <w:noProof/>
            </w:rPr>
            <w:fldChar w:fldCharType="separate"/>
          </w:r>
          <w:r w:rsidR="00E47FDF" w:rsidRPr="00E47FDF">
            <w:rPr>
              <w:rFonts w:asciiTheme="minorHAnsi" w:hAnsiTheme="minorHAnsi"/>
              <w:noProof/>
            </w:rPr>
            <w:t>3</w:t>
          </w:r>
          <w:r w:rsidR="00443CFB">
            <w:rPr>
              <w:rFonts w:asciiTheme="minorHAnsi" w:hAnsiTheme="minorHAnsi"/>
              <w:noProof/>
            </w:rPr>
            <w:fldChar w:fldCharType="end"/>
          </w:r>
          <w:r w:rsidR="00363F7D" w:rsidRPr="00123992">
            <w:rPr>
              <w:rFonts w:asciiTheme="minorHAnsi" w:hAnsiTheme="minorHAnsi"/>
            </w:rPr>
            <w:t>)</w:t>
          </w:r>
        </w:p>
      </w:tc>
    </w:tr>
    <w:tr w:rsidR="003A5662" w:rsidRPr="00123992" w:rsidTr="008F5F42">
      <w:tc>
        <w:tcPr>
          <w:tcW w:w="4361" w:type="dxa"/>
        </w:tcPr>
        <w:p w:rsidR="003A5662" w:rsidRPr="00123992" w:rsidRDefault="003A5662" w:rsidP="00C579D4">
          <w:pPr>
            <w:tabs>
              <w:tab w:val="left" w:pos="5010"/>
              <w:tab w:val="left" w:pos="6663"/>
            </w:tabs>
            <w:rPr>
              <w:rFonts w:asciiTheme="minorHAnsi" w:hAnsiTheme="minorHAnsi"/>
              <w:noProof/>
            </w:rPr>
          </w:pPr>
        </w:p>
      </w:tc>
      <w:tc>
        <w:tcPr>
          <w:tcW w:w="3583" w:type="dxa"/>
        </w:tcPr>
        <w:p w:rsidR="003A5662" w:rsidRPr="00EC6562" w:rsidRDefault="008F5F42" w:rsidP="00850648">
          <w:pPr>
            <w:tabs>
              <w:tab w:val="left" w:pos="5010"/>
              <w:tab w:val="left" w:pos="6663"/>
            </w:tabs>
            <w:rPr>
              <w:rFonts w:asciiTheme="minorHAnsi" w:hAnsiTheme="minorHAnsi"/>
              <w:sz w:val="20"/>
              <w:szCs w:val="20"/>
            </w:rPr>
          </w:pPr>
          <w:r>
            <w:rPr>
              <w:rFonts w:asciiTheme="minorHAnsi" w:hAnsiTheme="minorHAnsi"/>
              <w:sz w:val="20"/>
              <w:szCs w:val="20"/>
            </w:rPr>
            <w:t xml:space="preserve">Status: </w:t>
          </w:r>
          <w:bookmarkStart w:id="13" w:name="status"/>
          <w:r w:rsidR="005B50D6">
            <w:rPr>
              <w:rFonts w:asciiTheme="minorHAnsi" w:hAnsiTheme="minorHAnsi"/>
              <w:sz w:val="20"/>
              <w:szCs w:val="20"/>
            </w:rPr>
            <w:t>gällande</w:t>
          </w:r>
          <w:bookmarkEnd w:id="13"/>
        </w:p>
      </w:tc>
      <w:tc>
        <w:tcPr>
          <w:tcW w:w="1346" w:type="dxa"/>
        </w:tcPr>
        <w:p w:rsidR="003A5662" w:rsidRPr="00EC6562" w:rsidRDefault="003A5662" w:rsidP="00762575">
          <w:pPr>
            <w:tabs>
              <w:tab w:val="left" w:pos="5010"/>
              <w:tab w:val="left" w:pos="6663"/>
            </w:tabs>
            <w:jc w:val="right"/>
            <w:rPr>
              <w:rFonts w:asciiTheme="minorHAnsi" w:hAnsiTheme="minorHAnsi"/>
              <w:sz w:val="20"/>
              <w:szCs w:val="20"/>
            </w:rPr>
          </w:pPr>
          <w:bookmarkStart w:id="14" w:name="arkiverat"/>
          <w:bookmarkEnd w:id="14"/>
        </w:p>
      </w:tc>
    </w:tr>
  </w:tbl>
  <w:p w:rsidR="00C579D4" w:rsidRDefault="00C579D4" w:rsidP="008F5F4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503"/>
    <w:multiLevelType w:val="hybridMultilevel"/>
    <w:tmpl w:val="AFFCDCD0"/>
    <w:lvl w:ilvl="0" w:tplc="0E3E9D78">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5FB441E3"/>
    <w:multiLevelType w:val="hybridMultilevel"/>
    <w:tmpl w:val="A1F6C31C"/>
    <w:lvl w:ilvl="0" w:tplc="869ED32E">
      <w:numFmt w:val="bullet"/>
      <w:lvlText w:val="-"/>
      <w:lvlJc w:val="left"/>
      <w:pPr>
        <w:ind w:left="720" w:hanging="360"/>
      </w:pPr>
      <w:rPr>
        <w:rFonts w:ascii="Times New Roman" w:eastAsia="Times New Roman" w:hAnsi="Times New Roman" w:cs="Times New Roman" w:hint="default"/>
        <w:sz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5A112CA"/>
    <w:multiLevelType w:val="hybridMultilevel"/>
    <w:tmpl w:val="AB22E16A"/>
    <w:lvl w:ilvl="0" w:tplc="249A8EF0">
      <w:numFmt w:val="bullet"/>
      <w:lvlText w:val="-"/>
      <w:lvlJc w:val="left"/>
      <w:pPr>
        <w:ind w:left="720" w:hanging="360"/>
      </w:pPr>
      <w:rPr>
        <w:rFonts w:ascii="Times New Roman" w:eastAsia="Times New Roman" w:hAnsi="Times New Roman" w:cs="Times New Roman" w:hint="default"/>
        <w:sz w:val="22"/>
        <w:szCs w:val="22"/>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rawingGridHorizontalSpacing w:val="120"/>
  <w:displayHorizontalDrawingGridEvery w:val="2"/>
  <w:noPunctuationKerning/>
  <w:characterSpacingControl w:val="doNotCompress"/>
  <w:hdrShapeDefaults>
    <o:shapedefaults v:ext="edit" spidmax="2131" style="mso-position-horizontal-relative:page;mso-position-vertical-relative:page" fill="f" fillcolor="white" stroke="f">
      <v:fill color="white" on="f"/>
      <v:stroke on="f"/>
      <o:colormenu v:ext="edit" strokecolor="black"/>
    </o:shapedefaults>
    <o:shapelayout v:ext="edit">
      <o:idmap v:ext="edit" data="2"/>
      <o:regrouptable v:ext="edit">
        <o:entry new="1" old="0"/>
      </o:regrouptable>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cAvailableTexts" w:val="Fraser"/>
    <w:docVar w:name="lcCancel" w:val="Avbryt"/>
    <w:docVar w:name="lcCategory" w:val="Kategori"/>
    <w:docVar w:name="lcDescription" w:val="Beskrivning"/>
    <w:docVar w:name="lcDlgTitle" w:val="Frasbibliotek"/>
    <w:docVar w:name="lcInsert" w:val="Infoga"/>
    <w:docVar w:name="lcInsertReusableText" w:val="Välj från Frasbiblioteket..."/>
    <w:docVar w:name="lcPDFEMail" w:val="Konvertera till PDF och e-posta"/>
    <w:docVar w:name="lcPDFSave" w:val="Spara som PDF..."/>
    <w:docVar w:name="lcSave" w:val="Spara"/>
    <w:docVar w:name="lcSaveReusableText" w:val="Spara till Frasbiblioteket..."/>
    <w:docVar w:name="lcSearch" w:val="Sök"/>
    <w:docVar w:name="lcSearchAll" w:val="Sök Fraser"/>
    <w:docVar w:name="lcSearchFor" w:val="Sök efter:"/>
    <w:docVar w:name="lcTitle" w:val="Titel"/>
    <w:docVar w:name="SwDialogEnabled" w:val="False"/>
  </w:docVars>
  <w:rsids>
    <w:rsidRoot w:val="00A80F9E"/>
    <w:rsid w:val="00010352"/>
    <w:rsid w:val="000114E3"/>
    <w:rsid w:val="00015875"/>
    <w:rsid w:val="0002501F"/>
    <w:rsid w:val="00046063"/>
    <w:rsid w:val="00047E0F"/>
    <w:rsid w:val="00051851"/>
    <w:rsid w:val="00072F71"/>
    <w:rsid w:val="00080A88"/>
    <w:rsid w:val="00090B26"/>
    <w:rsid w:val="00097170"/>
    <w:rsid w:val="000A6A10"/>
    <w:rsid w:val="000B17EC"/>
    <w:rsid w:val="000B4D3D"/>
    <w:rsid w:val="000C04C7"/>
    <w:rsid w:val="000D4E47"/>
    <w:rsid w:val="000E3AC9"/>
    <w:rsid w:val="000E6410"/>
    <w:rsid w:val="000E6924"/>
    <w:rsid w:val="000F3530"/>
    <w:rsid w:val="000F4D65"/>
    <w:rsid w:val="00100FDC"/>
    <w:rsid w:val="00101AC6"/>
    <w:rsid w:val="00101E13"/>
    <w:rsid w:val="001101F1"/>
    <w:rsid w:val="00123992"/>
    <w:rsid w:val="001504AB"/>
    <w:rsid w:val="001516CD"/>
    <w:rsid w:val="00167279"/>
    <w:rsid w:val="00191D8A"/>
    <w:rsid w:val="0019376C"/>
    <w:rsid w:val="00196C06"/>
    <w:rsid w:val="001A1351"/>
    <w:rsid w:val="001C1BBD"/>
    <w:rsid w:val="001C3913"/>
    <w:rsid w:val="001C5ECA"/>
    <w:rsid w:val="001C71C5"/>
    <w:rsid w:val="001D0E4E"/>
    <w:rsid w:val="001E2505"/>
    <w:rsid w:val="001E33E1"/>
    <w:rsid w:val="001E6A21"/>
    <w:rsid w:val="001F0E53"/>
    <w:rsid w:val="001F232D"/>
    <w:rsid w:val="001F2B1C"/>
    <w:rsid w:val="00223D2A"/>
    <w:rsid w:val="00233A25"/>
    <w:rsid w:val="00235B0D"/>
    <w:rsid w:val="002573F9"/>
    <w:rsid w:val="00261332"/>
    <w:rsid w:val="002769F1"/>
    <w:rsid w:val="002C1CF4"/>
    <w:rsid w:val="002C3CFE"/>
    <w:rsid w:val="002C4C2A"/>
    <w:rsid w:val="002C4EDA"/>
    <w:rsid w:val="002C574A"/>
    <w:rsid w:val="002C57F8"/>
    <w:rsid w:val="002D3BE4"/>
    <w:rsid w:val="002E46A8"/>
    <w:rsid w:val="002F6D2D"/>
    <w:rsid w:val="00323C05"/>
    <w:rsid w:val="0032701E"/>
    <w:rsid w:val="0033668A"/>
    <w:rsid w:val="003539AA"/>
    <w:rsid w:val="00356E00"/>
    <w:rsid w:val="00363F7D"/>
    <w:rsid w:val="00376CF2"/>
    <w:rsid w:val="00391442"/>
    <w:rsid w:val="003940FC"/>
    <w:rsid w:val="003A5662"/>
    <w:rsid w:val="003B131D"/>
    <w:rsid w:val="003C230B"/>
    <w:rsid w:val="003C7DDC"/>
    <w:rsid w:val="003D3D1C"/>
    <w:rsid w:val="003F3D97"/>
    <w:rsid w:val="003F5240"/>
    <w:rsid w:val="003F7062"/>
    <w:rsid w:val="004042DC"/>
    <w:rsid w:val="004056C6"/>
    <w:rsid w:val="00405774"/>
    <w:rsid w:val="00405E69"/>
    <w:rsid w:val="00407F90"/>
    <w:rsid w:val="004111D2"/>
    <w:rsid w:val="00414F84"/>
    <w:rsid w:val="00415C72"/>
    <w:rsid w:val="00424EA4"/>
    <w:rsid w:val="00443CFB"/>
    <w:rsid w:val="00447EBD"/>
    <w:rsid w:val="00456345"/>
    <w:rsid w:val="00461C75"/>
    <w:rsid w:val="00463852"/>
    <w:rsid w:val="00463CE9"/>
    <w:rsid w:val="004644A8"/>
    <w:rsid w:val="00473759"/>
    <w:rsid w:val="00474607"/>
    <w:rsid w:val="004C3777"/>
    <w:rsid w:val="004C5F7B"/>
    <w:rsid w:val="004E0843"/>
    <w:rsid w:val="00502B3C"/>
    <w:rsid w:val="00505E91"/>
    <w:rsid w:val="00522CC6"/>
    <w:rsid w:val="00523EAD"/>
    <w:rsid w:val="005253BF"/>
    <w:rsid w:val="005262F7"/>
    <w:rsid w:val="00533490"/>
    <w:rsid w:val="00536E3C"/>
    <w:rsid w:val="00541FCA"/>
    <w:rsid w:val="00543742"/>
    <w:rsid w:val="005647A8"/>
    <w:rsid w:val="00576479"/>
    <w:rsid w:val="0057683E"/>
    <w:rsid w:val="00594B6A"/>
    <w:rsid w:val="005A5900"/>
    <w:rsid w:val="005A75E6"/>
    <w:rsid w:val="005B04BF"/>
    <w:rsid w:val="005B50D6"/>
    <w:rsid w:val="005C1E82"/>
    <w:rsid w:val="005C2A6A"/>
    <w:rsid w:val="005C50FF"/>
    <w:rsid w:val="005C7CF9"/>
    <w:rsid w:val="005E0ED9"/>
    <w:rsid w:val="00602275"/>
    <w:rsid w:val="00605C27"/>
    <w:rsid w:val="006138C1"/>
    <w:rsid w:val="00624F6F"/>
    <w:rsid w:val="006330C0"/>
    <w:rsid w:val="0066201A"/>
    <w:rsid w:val="00663476"/>
    <w:rsid w:val="0066413E"/>
    <w:rsid w:val="00664ED1"/>
    <w:rsid w:val="006658CE"/>
    <w:rsid w:val="00666B34"/>
    <w:rsid w:val="00677161"/>
    <w:rsid w:val="0068125E"/>
    <w:rsid w:val="006A552A"/>
    <w:rsid w:val="006C670F"/>
    <w:rsid w:val="006D032C"/>
    <w:rsid w:val="006D2669"/>
    <w:rsid w:val="006D3EEA"/>
    <w:rsid w:val="006E318F"/>
    <w:rsid w:val="006E5CD4"/>
    <w:rsid w:val="007027A1"/>
    <w:rsid w:val="00730505"/>
    <w:rsid w:val="007310E3"/>
    <w:rsid w:val="0073674B"/>
    <w:rsid w:val="00753FE2"/>
    <w:rsid w:val="00756427"/>
    <w:rsid w:val="00762575"/>
    <w:rsid w:val="0076688B"/>
    <w:rsid w:val="00773423"/>
    <w:rsid w:val="007825F9"/>
    <w:rsid w:val="00784D4F"/>
    <w:rsid w:val="00792109"/>
    <w:rsid w:val="007A154D"/>
    <w:rsid w:val="007A7CD8"/>
    <w:rsid w:val="007C46E0"/>
    <w:rsid w:val="007C481A"/>
    <w:rsid w:val="007C6164"/>
    <w:rsid w:val="00820E06"/>
    <w:rsid w:val="0083084E"/>
    <w:rsid w:val="0084434C"/>
    <w:rsid w:val="00850648"/>
    <w:rsid w:val="008765DF"/>
    <w:rsid w:val="00877AF7"/>
    <w:rsid w:val="00887EA3"/>
    <w:rsid w:val="00893D63"/>
    <w:rsid w:val="008956CE"/>
    <w:rsid w:val="008A147E"/>
    <w:rsid w:val="008A3F58"/>
    <w:rsid w:val="008A6A48"/>
    <w:rsid w:val="008B6CB0"/>
    <w:rsid w:val="008C2B03"/>
    <w:rsid w:val="008D143D"/>
    <w:rsid w:val="008E03CB"/>
    <w:rsid w:val="008F5F42"/>
    <w:rsid w:val="00916924"/>
    <w:rsid w:val="00926A38"/>
    <w:rsid w:val="00946C7B"/>
    <w:rsid w:val="00947A73"/>
    <w:rsid w:val="00947DA0"/>
    <w:rsid w:val="00964350"/>
    <w:rsid w:val="00964431"/>
    <w:rsid w:val="0097166F"/>
    <w:rsid w:val="00990020"/>
    <w:rsid w:val="009954D8"/>
    <w:rsid w:val="009A0B7E"/>
    <w:rsid w:val="009C2F30"/>
    <w:rsid w:val="009D51B5"/>
    <w:rsid w:val="009E34D9"/>
    <w:rsid w:val="009E6815"/>
    <w:rsid w:val="009F03FB"/>
    <w:rsid w:val="00A1365F"/>
    <w:rsid w:val="00A43AD9"/>
    <w:rsid w:val="00A50CC6"/>
    <w:rsid w:val="00A63EB7"/>
    <w:rsid w:val="00A67932"/>
    <w:rsid w:val="00A80F9E"/>
    <w:rsid w:val="00A83DA6"/>
    <w:rsid w:val="00AD7B2E"/>
    <w:rsid w:val="00AE2C8C"/>
    <w:rsid w:val="00AE46F6"/>
    <w:rsid w:val="00AF69EE"/>
    <w:rsid w:val="00B00F3E"/>
    <w:rsid w:val="00B130A7"/>
    <w:rsid w:val="00B2112E"/>
    <w:rsid w:val="00B22B7D"/>
    <w:rsid w:val="00B237A2"/>
    <w:rsid w:val="00B24C48"/>
    <w:rsid w:val="00B3597E"/>
    <w:rsid w:val="00B46D94"/>
    <w:rsid w:val="00B5688E"/>
    <w:rsid w:val="00B7532A"/>
    <w:rsid w:val="00B81FC6"/>
    <w:rsid w:val="00B85E7F"/>
    <w:rsid w:val="00BA3DB1"/>
    <w:rsid w:val="00BB2D58"/>
    <w:rsid w:val="00BB74B1"/>
    <w:rsid w:val="00BC2905"/>
    <w:rsid w:val="00BD7647"/>
    <w:rsid w:val="00BE6499"/>
    <w:rsid w:val="00BF186B"/>
    <w:rsid w:val="00C11EF7"/>
    <w:rsid w:val="00C144C4"/>
    <w:rsid w:val="00C215F0"/>
    <w:rsid w:val="00C27304"/>
    <w:rsid w:val="00C579D4"/>
    <w:rsid w:val="00C712F5"/>
    <w:rsid w:val="00C9087D"/>
    <w:rsid w:val="00C90CCA"/>
    <w:rsid w:val="00C91E68"/>
    <w:rsid w:val="00CA6F8A"/>
    <w:rsid w:val="00CB116E"/>
    <w:rsid w:val="00CB341B"/>
    <w:rsid w:val="00CC3836"/>
    <w:rsid w:val="00CC4FA1"/>
    <w:rsid w:val="00CC73B9"/>
    <w:rsid w:val="00CD53DF"/>
    <w:rsid w:val="00CF4644"/>
    <w:rsid w:val="00D21D17"/>
    <w:rsid w:val="00D270A5"/>
    <w:rsid w:val="00D3561B"/>
    <w:rsid w:val="00D50DA7"/>
    <w:rsid w:val="00D56B21"/>
    <w:rsid w:val="00D60013"/>
    <w:rsid w:val="00D67F3A"/>
    <w:rsid w:val="00D7790F"/>
    <w:rsid w:val="00D937F2"/>
    <w:rsid w:val="00DA4158"/>
    <w:rsid w:val="00DA6C0E"/>
    <w:rsid w:val="00DE0DE5"/>
    <w:rsid w:val="00DF3558"/>
    <w:rsid w:val="00DF3638"/>
    <w:rsid w:val="00E00292"/>
    <w:rsid w:val="00E169EE"/>
    <w:rsid w:val="00E21228"/>
    <w:rsid w:val="00E42122"/>
    <w:rsid w:val="00E47FDF"/>
    <w:rsid w:val="00E63120"/>
    <w:rsid w:val="00E64F96"/>
    <w:rsid w:val="00E7592E"/>
    <w:rsid w:val="00E94A0B"/>
    <w:rsid w:val="00EA6533"/>
    <w:rsid w:val="00EB4AB7"/>
    <w:rsid w:val="00EB626B"/>
    <w:rsid w:val="00EC6562"/>
    <w:rsid w:val="00EC6E22"/>
    <w:rsid w:val="00ED2362"/>
    <w:rsid w:val="00ED41EB"/>
    <w:rsid w:val="00EE5B69"/>
    <w:rsid w:val="00EE6DF8"/>
    <w:rsid w:val="00EF6425"/>
    <w:rsid w:val="00F0551D"/>
    <w:rsid w:val="00F055D4"/>
    <w:rsid w:val="00F11C29"/>
    <w:rsid w:val="00F11FD1"/>
    <w:rsid w:val="00F526C1"/>
    <w:rsid w:val="00F62AA2"/>
    <w:rsid w:val="00F81DC0"/>
    <w:rsid w:val="00F93951"/>
    <w:rsid w:val="00FB4BA2"/>
    <w:rsid w:val="00FB7D90"/>
    <w:rsid w:val="00FE5FF4"/>
    <w:rsid w:val="00FF044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31" style="mso-position-horizontal-relative:page;mso-position-vertical-relative:page" fill="f" fillcolor="white" stroke="f">
      <v:fill color="white" on="f"/>
      <v:stroke on="f"/>
      <o:colormenu v:ext="edit" strokecolor="black"/>
    </o:shapedefaults>
    <o:shapelayout v:ext="edit">
      <o:idmap v:ext="edit" data="1"/>
    </o:shapelayout>
  </w:shapeDefaults>
  <w:decimalSymbol w:val=","/>
  <w:listSeparator w:val=";"/>
  <w15:docId w15:val="{4C7E679B-DB6A-4307-8028-611081596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1BBD"/>
    <w:pPr>
      <w:widowControl w:val="0"/>
    </w:pPr>
    <w:rPr>
      <w:sz w:val="24"/>
      <w:szCs w:val="24"/>
    </w:rPr>
  </w:style>
  <w:style w:type="paragraph" w:styleId="Rubrik1">
    <w:name w:val="heading 1"/>
    <w:aliases w:val="KU Rubrik 1"/>
    <w:basedOn w:val="Normal"/>
    <w:next w:val="Normal"/>
    <w:qFormat/>
    <w:rsid w:val="001C1BBD"/>
    <w:pPr>
      <w:keepNext/>
      <w:outlineLvl w:val="0"/>
    </w:pPr>
    <w:rPr>
      <w:rFonts w:cs="Arial"/>
      <w:b/>
      <w:bCs/>
      <w:kern w:val="32"/>
      <w:sz w:val="28"/>
      <w:szCs w:val="28"/>
    </w:rPr>
  </w:style>
  <w:style w:type="paragraph" w:styleId="Rubrik2">
    <w:name w:val="heading 2"/>
    <w:aliases w:val="Ku Rubrik 2 indrag"/>
    <w:basedOn w:val="Normal"/>
    <w:next w:val="KuRapportBrdtextindrag"/>
    <w:qFormat/>
    <w:rsid w:val="001C1BBD"/>
    <w:pPr>
      <w:keepNext/>
      <w:ind w:left="1134"/>
      <w:outlineLvl w:val="1"/>
    </w:pPr>
    <w:rPr>
      <w:rFonts w:cs="Arial"/>
      <w:b/>
      <w:bCs/>
      <w:iCs/>
      <w:szCs w:val="28"/>
    </w:rPr>
  </w:style>
  <w:style w:type="paragraph" w:styleId="Rubrik3">
    <w:name w:val="heading 3"/>
    <w:aliases w:val="Ku Underrubrik 3"/>
    <w:basedOn w:val="Normal"/>
    <w:next w:val="KuRapportbrdtextunderniv"/>
    <w:qFormat/>
    <w:rsid w:val="001C1BBD"/>
    <w:pPr>
      <w:keepNext/>
      <w:outlineLvl w:val="2"/>
    </w:pPr>
    <w:rPr>
      <w:rFonts w:cs="Arial"/>
      <w:b/>
      <w:bCs/>
      <w:sz w:val="20"/>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Brevhuvud">
    <w:name w:val="Brevhuvud"/>
    <w:basedOn w:val="Normal"/>
    <w:rsid w:val="001C1BBD"/>
    <w:pPr>
      <w:framePr w:hSpace="181" w:wrap="auto" w:vAnchor="page" w:hAnchor="page" w:x="1419" w:y="1039"/>
      <w:ind w:left="28"/>
    </w:pPr>
    <w:rPr>
      <w:noProof/>
    </w:rPr>
  </w:style>
  <w:style w:type="paragraph" w:customStyle="1" w:styleId="KuRapportBrdtextindrag">
    <w:name w:val="Ku Rapport Brödtext indrag"/>
    <w:basedOn w:val="Normal"/>
    <w:rsid w:val="001C1BBD"/>
    <w:pPr>
      <w:ind w:left="1134"/>
    </w:pPr>
    <w:rPr>
      <w:szCs w:val="20"/>
    </w:rPr>
  </w:style>
  <w:style w:type="paragraph" w:customStyle="1" w:styleId="KuRapportbrdtextunderniv">
    <w:name w:val="Ku Rapport brödtext undernivå"/>
    <w:basedOn w:val="Normal"/>
    <w:rsid w:val="001C1BBD"/>
    <w:rPr>
      <w:sz w:val="20"/>
      <w:szCs w:val="20"/>
    </w:rPr>
  </w:style>
  <w:style w:type="paragraph" w:styleId="Sidfot">
    <w:name w:val="footer"/>
    <w:basedOn w:val="Normal"/>
    <w:rsid w:val="001C1BBD"/>
    <w:pPr>
      <w:tabs>
        <w:tab w:val="center" w:pos="4320"/>
        <w:tab w:val="right" w:pos="8640"/>
      </w:tabs>
    </w:pPr>
  </w:style>
  <w:style w:type="paragraph" w:styleId="Sidhuvud">
    <w:name w:val="header"/>
    <w:basedOn w:val="Normal"/>
    <w:rsid w:val="001C1BBD"/>
    <w:pPr>
      <w:tabs>
        <w:tab w:val="center" w:pos="4320"/>
        <w:tab w:val="right" w:pos="8640"/>
      </w:tabs>
    </w:pPr>
  </w:style>
  <w:style w:type="paragraph" w:styleId="Ballongtext">
    <w:name w:val="Balloon Text"/>
    <w:basedOn w:val="Normal"/>
    <w:semiHidden/>
    <w:rsid w:val="001C1BBD"/>
    <w:rPr>
      <w:rFonts w:ascii="Tahoma" w:hAnsi="Tahoma" w:cs="Tahoma"/>
      <w:sz w:val="16"/>
      <w:szCs w:val="16"/>
    </w:rPr>
  </w:style>
  <w:style w:type="table" w:styleId="Tabellrutnt">
    <w:name w:val="Table Grid"/>
    <w:basedOn w:val="Normaltabell"/>
    <w:rsid w:val="00C579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stycke">
    <w:name w:val="List Paragraph"/>
    <w:basedOn w:val="Normal"/>
    <w:uiPriority w:val="34"/>
    <w:qFormat/>
    <w:rsid w:val="003940FC"/>
    <w:pPr>
      <w:ind w:left="720"/>
      <w:contextualSpacing/>
    </w:pPr>
  </w:style>
  <w:style w:type="character" w:styleId="Hyperlnk">
    <w:name w:val="Hyperlink"/>
    <w:basedOn w:val="Standardstycketeckensnitt"/>
    <w:uiPriority w:val="99"/>
    <w:unhideWhenUsed/>
    <w:rsid w:val="003940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ftinformation.se/lakare/substanser/huggor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59265-2DAF-4DD0-8CBB-037FAE7E3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D21D2A93.dotm</Template>
  <TotalTime>3</TotalTime>
  <Pages>2</Pages>
  <Words>825</Words>
  <Characters>4378</Characters>
  <Application>Microsoft Office Word</Application>
  <DocSecurity>0</DocSecurity>
  <Lines>36</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Dokumentnamn </vt:lpstr>
      <vt:lpstr>Dokumentnamn </vt:lpstr>
    </vt:vector>
  </TitlesOfParts>
  <Company>Karolinska</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Dokumentnamn </dc:title>
  <dc:subject/>
  <dc:creator>Adam</dc:creator>
  <cp:keywords/>
  <dc:description>Freeducation 2005</dc:description>
  <cp:lastModifiedBy>Mona-Lisa Engman</cp:lastModifiedBy>
  <cp:revision>6</cp:revision>
  <cp:lastPrinted>2012-06-26T12:48:00Z</cp:lastPrinted>
  <dcterms:created xsi:type="dcterms:W3CDTF">2020-05-18T09:44:00Z</dcterms:created>
  <dcterms:modified xsi:type="dcterms:W3CDTF">2020-05-18T09:55:00Z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IntOfficeMacros">
    <vt:lpwstr>Enabled</vt:lpwstr>
  </property>
  <property fmtid="{D5CDD505-2E9C-101B-9397-08002B2CF9AE}" pid="3" name="SW_CustomTitle">
    <vt:lpwstr>SWING Integrator 5 Document</vt:lpwstr>
  </property>
  <property fmtid="{D5CDD505-2E9C-101B-9397-08002B2CF9AE}" pid="4" name="SW_SaveText">
    <vt:lpwstr>Spara till Notes</vt:lpwstr>
  </property>
  <property fmtid="{D5CDD505-2E9C-101B-9397-08002B2CF9AE}" pid="5" name="SW_SaveCloseOfficeText">
    <vt:lpwstr>Spara och Stäng Officedokument</vt:lpwstr>
  </property>
  <property fmtid="{D5CDD505-2E9C-101B-9397-08002B2CF9AE}" pid="6" name="SW_SaveCloseText">
    <vt:lpwstr>Spara och Stäng Notes dokument</vt:lpwstr>
  </property>
  <property fmtid="{D5CDD505-2E9C-101B-9397-08002B2CF9AE}" pid="7" name="SW_DocUNID">
    <vt:lpwstr/>
  </property>
  <property fmtid="{D5CDD505-2E9C-101B-9397-08002B2CF9AE}" pid="8" name="SW_DocHWND">
    <vt:r8>66674</vt:r8>
  </property>
  <property fmtid="{D5CDD505-2E9C-101B-9397-08002B2CF9AE}" pid="9" name="SW_DialogTitle">
    <vt:lpwstr>SWING Integrator för Notes och Office</vt:lpwstr>
  </property>
  <property fmtid="{D5CDD505-2E9C-101B-9397-08002B2CF9AE}" pid="10" name="SW_PromptText">
    <vt:lpwstr>Vill du spara?</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CN=lis02.sll.se/OU=Servers/O=SLLLIS</vt:lpwstr>
  </property>
  <property fmtid="{D5CDD505-2E9C-101B-9397-08002B2CF9AE}" pid="16" name="SW_DocumentDB">
    <vt:lpwstr>prod\karolinska\lis\verksamhetshandbok\alvhandbok.nsf</vt:lpwstr>
  </property>
  <property fmtid="{D5CDD505-2E9C-101B-9397-08002B2CF9AE}" pid="17" name="SW_ShowContentLibMenus">
    <vt:bool>true</vt:bool>
  </property>
  <property fmtid="{D5CDD505-2E9C-101B-9397-08002B2CF9AE}" pid="18" name="SW_SaveAsPrompt">
    <vt:lpwstr>Dokumentet har inte blivit sparat och du håller på att jobba med en lokal kopia av dokumentet. För att behålla ändringarna i Lotus Notes-databasen måste du spara dokumentet. Vill du fortsätta?</vt:lpwstr>
  </property>
  <property fmtid="{D5CDD505-2E9C-101B-9397-08002B2CF9AE}" pid="19" name="SW_VisibleVBAMacroMenuItems">
    <vt:r8>127</vt:r8>
  </property>
  <property fmtid="{D5CDD505-2E9C-101B-9397-08002B2CF9AE}" pid="20" name="SW_EnabledVBAMacroMenuItems">
    <vt:r8>7</vt:r8>
  </property>
  <property fmtid="{D5CDD505-2E9C-101B-9397-08002B2CF9AE}" pid="21" name="SW_AddinName">
    <vt:lpwstr>SWINGINTEGRATOR.5.29.000.DOT</vt:lpwstr>
  </property>
</Properties>
</file>