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rsidP="00FE15A1">
      <w:pPr>
        <w:pStyle w:val="Rubrik1"/>
        <w:rPr>
          <w:lang w:val="en-US"/>
        </w:rPr>
      </w:pPr>
      <w:bookmarkStart w:id="0" w:name="Rubrik"/>
    </w:p>
    <w:p w:rsidR="008B6CB0" w:rsidRDefault="008B6CB0">
      <w:pPr>
        <w:pStyle w:val="Rubrik1"/>
        <w:rPr>
          <w:lang w:val="en-US"/>
        </w:rPr>
      </w:pPr>
    </w:p>
    <w:p w:rsidR="008B6CB0" w:rsidRDefault="008B6CB0">
      <w:pPr>
        <w:pStyle w:val="Rubrik1"/>
        <w:rPr>
          <w:lang w:val="en-US"/>
        </w:rPr>
      </w:pPr>
    </w:p>
    <w:bookmarkEnd w:id="0"/>
    <w:p w:rsidR="00F81022" w:rsidRPr="00D64B73" w:rsidRDefault="00F81022" w:rsidP="00F81022">
      <w:pPr>
        <w:pStyle w:val="Rubrik1"/>
        <w:rPr>
          <w:sz w:val="24"/>
          <w:szCs w:val="24"/>
        </w:rPr>
      </w:pPr>
      <w:r>
        <w:t>Checklista – Läkare</w:t>
      </w:r>
      <w:r>
        <w:br/>
      </w:r>
      <w:r w:rsidRPr="00D64B73">
        <w:rPr>
          <w:rFonts w:asciiTheme="majorHAnsi" w:eastAsiaTheme="majorEastAsia" w:hAnsiTheme="majorHAnsi" w:cstheme="majorBidi"/>
          <w:color w:val="365F91" w:themeColor="accent1" w:themeShade="BF"/>
          <w:sz w:val="26"/>
          <w:szCs w:val="26"/>
          <w:lang w:eastAsia="en-US"/>
        </w:rPr>
        <w:t>Post-expositionsprofylax efter mässlingsexponering</w:t>
      </w:r>
    </w:p>
    <w:p w:rsidR="00F81022" w:rsidRPr="00EB113D" w:rsidRDefault="00F81022" w:rsidP="00F81022"/>
    <w:p w:rsidR="00F81022" w:rsidRDefault="00F81022" w:rsidP="00F81022">
      <w:r w:rsidRPr="001242A3">
        <w:rPr>
          <w:b/>
        </w:rPr>
        <w:t>Utarbetad av</w:t>
      </w:r>
      <w:r>
        <w:rPr>
          <w:b/>
        </w:rPr>
        <w:t xml:space="preserve"> </w:t>
      </w:r>
      <w:r>
        <w:rPr>
          <w:b/>
        </w:rPr>
        <w:br/>
      </w:r>
      <w:sdt>
        <w:sdtPr>
          <w:id w:val="474335459"/>
          <w:placeholder>
            <w:docPart w:val="8A3D335966DC4621959803A100C1535A"/>
          </w:placeholder>
        </w:sdtPr>
        <w:sdtEndPr/>
        <w:sdtContent>
          <w:r>
            <w:t>Åsa Fowler, Linda Kyrk Fabo</w:t>
          </w:r>
        </w:sdtContent>
      </w:sdt>
    </w:p>
    <w:p w:rsidR="00F81022" w:rsidRDefault="00F81022" w:rsidP="00F81022">
      <w:r>
        <w:br/>
        <w:t>Granskad och godkänd av:</w:t>
      </w:r>
    </w:p>
    <w:p w:rsidR="00F81022" w:rsidRDefault="00F81022" w:rsidP="00F81022">
      <w:r>
        <w:rPr>
          <w:rFonts w:ascii="MS Gothic" w:eastAsia="MS Gothic" w:hAnsi="MS Gothic" w:hint="eastAsia"/>
        </w:rPr>
        <w:t>☐</w:t>
      </w:r>
      <w:r>
        <w:t xml:space="preserve"> Temats barnläkemedelsgrupp (om dokumentet innehåller läkemedelsdoser till barn)</w:t>
      </w:r>
    </w:p>
    <w:p w:rsidR="00F81022" w:rsidRDefault="00F81022" w:rsidP="00F81022">
      <w:r>
        <w:rPr>
          <w:rFonts w:ascii="MS Gothic" w:eastAsia="MS Gothic" w:hAnsi="MS Gothic" w:hint="eastAsia"/>
        </w:rPr>
        <w:t>☐</w:t>
      </w:r>
      <w:r>
        <w:t xml:space="preserve"> Annan med specifik kompetens (ange vem)</w:t>
      </w:r>
    </w:p>
    <w:p w:rsidR="00F81022" w:rsidRDefault="00F81022" w:rsidP="00F81022">
      <w:r>
        <w:rPr>
          <w:rFonts w:ascii="MS Gothic" w:eastAsia="MS Gothic" w:hAnsi="MS Gothic" w:hint="eastAsia"/>
        </w:rPr>
        <w:t>☒</w:t>
      </w:r>
      <w:r>
        <w:t xml:space="preserve"> Inte AKTUELLT</w:t>
      </w:r>
    </w:p>
    <w:p w:rsidR="00F81022" w:rsidRDefault="00F81022" w:rsidP="00F81022"/>
    <w:p w:rsidR="00F81022" w:rsidRPr="00D64B73" w:rsidRDefault="00F81022" w:rsidP="00F81022">
      <w:pPr>
        <w:widowControl/>
        <w:spacing w:line="259" w:lineRule="auto"/>
        <w:rPr>
          <w:rFonts w:eastAsiaTheme="minorHAnsi"/>
          <w:sz w:val="22"/>
          <w:szCs w:val="22"/>
          <w:lang w:eastAsia="en-US"/>
        </w:rPr>
      </w:pPr>
      <w:r w:rsidRPr="00D64B73">
        <w:rPr>
          <w:rFonts w:eastAsiaTheme="minorHAnsi"/>
          <w:sz w:val="22"/>
          <w:szCs w:val="22"/>
          <w:lang w:eastAsia="en-US"/>
        </w:rPr>
        <w:t xml:space="preserve">Post-expositionsprofylax (PEP) ges till icke säkert immuna individer exponerade för mässling. Prioritera barn under 3 år som ej är vaccinerade samt </w:t>
      </w:r>
      <w:proofErr w:type="spellStart"/>
      <w:r w:rsidRPr="00D64B73">
        <w:rPr>
          <w:rFonts w:eastAsiaTheme="minorHAnsi"/>
          <w:sz w:val="22"/>
          <w:szCs w:val="22"/>
          <w:lang w:eastAsia="en-US"/>
        </w:rPr>
        <w:t>immunsupprimerade</w:t>
      </w:r>
      <w:proofErr w:type="spellEnd"/>
      <w:r w:rsidRPr="00D64B73">
        <w:rPr>
          <w:rFonts w:eastAsiaTheme="minorHAnsi"/>
          <w:sz w:val="22"/>
          <w:szCs w:val="22"/>
          <w:lang w:eastAsia="en-US"/>
        </w:rPr>
        <w:t xml:space="preserve"> barn och vuxna.</w:t>
      </w:r>
    </w:p>
    <w:p w:rsidR="00F81022" w:rsidRPr="00D64B73" w:rsidRDefault="00F81022" w:rsidP="00F81022">
      <w:pPr>
        <w:widowControl/>
        <w:spacing w:line="259" w:lineRule="auto"/>
        <w:rPr>
          <w:rFonts w:eastAsiaTheme="minorHAnsi"/>
          <w:sz w:val="22"/>
          <w:szCs w:val="22"/>
          <w:lang w:eastAsia="en-US"/>
        </w:rPr>
      </w:pPr>
      <w:r w:rsidRPr="00D64B73">
        <w:rPr>
          <w:rFonts w:eastAsiaTheme="minorHAnsi"/>
          <w:sz w:val="22"/>
          <w:szCs w:val="22"/>
          <w:lang w:eastAsia="en-US"/>
        </w:rPr>
        <w:t>Post-expositionsprofylax ges som vaccin alternativt Immunoglobulin efter exponering för mässling.</w:t>
      </w:r>
    </w:p>
    <w:p w:rsidR="00F81022" w:rsidRPr="00D64B73" w:rsidRDefault="00F81022" w:rsidP="00F81022">
      <w:pPr>
        <w:widowControl/>
        <w:spacing w:line="259" w:lineRule="auto"/>
        <w:rPr>
          <w:rFonts w:eastAsiaTheme="minorHAnsi"/>
          <w:b/>
          <w:bCs/>
          <w:sz w:val="22"/>
          <w:szCs w:val="22"/>
          <w:lang w:eastAsia="en-US"/>
        </w:rPr>
      </w:pPr>
    </w:p>
    <w:p w:rsidR="00F81022" w:rsidRPr="00D64B73" w:rsidRDefault="00F81022" w:rsidP="00F81022">
      <w:pPr>
        <w:widowControl/>
        <w:spacing w:line="259" w:lineRule="auto"/>
        <w:rPr>
          <w:rFonts w:eastAsiaTheme="minorHAnsi"/>
          <w:b/>
          <w:bCs/>
          <w:sz w:val="22"/>
          <w:szCs w:val="22"/>
          <w:lang w:eastAsia="en-US"/>
        </w:rPr>
      </w:pPr>
      <w:r w:rsidRPr="00D64B73">
        <w:rPr>
          <w:rFonts w:eastAsiaTheme="minorHAnsi"/>
          <w:b/>
          <w:bCs/>
          <w:sz w:val="22"/>
          <w:szCs w:val="22"/>
          <w:lang w:eastAsia="en-US"/>
        </w:rPr>
        <w:t xml:space="preserve">All Post-expositionsprofylax ska vara en läkarordination i TC, journalanteckning görs avseende vilken typ av PEP som givits, diagnoskod (se nedan) anges i journalen. </w:t>
      </w:r>
    </w:p>
    <w:p w:rsidR="00F81022" w:rsidRPr="00D64B73" w:rsidRDefault="00F81022" w:rsidP="00F81022">
      <w:pPr>
        <w:widowControl/>
        <w:spacing w:line="259" w:lineRule="auto"/>
        <w:rPr>
          <w:rFonts w:eastAsiaTheme="minorHAnsi"/>
          <w:sz w:val="22"/>
          <w:szCs w:val="22"/>
          <w:lang w:eastAsia="en-US"/>
        </w:rPr>
      </w:pPr>
    </w:p>
    <w:p w:rsidR="00F81022" w:rsidRPr="00D64B73" w:rsidRDefault="00F81022" w:rsidP="00F81022">
      <w:pPr>
        <w:widowControl/>
        <w:spacing w:line="259" w:lineRule="auto"/>
        <w:rPr>
          <w:rFonts w:eastAsiaTheme="minorHAnsi"/>
          <w:sz w:val="22"/>
          <w:szCs w:val="22"/>
          <w:lang w:eastAsia="en-US"/>
        </w:rPr>
      </w:pPr>
      <w:r w:rsidRPr="00D64B73">
        <w:rPr>
          <w:rFonts w:eastAsiaTheme="minorHAnsi"/>
          <w:b/>
          <w:bCs/>
          <w:sz w:val="22"/>
          <w:szCs w:val="22"/>
          <w:lang w:eastAsia="en-US"/>
        </w:rPr>
        <w:t>Vaccination (</w:t>
      </w:r>
      <w:proofErr w:type="spellStart"/>
      <w:r w:rsidRPr="00D64B73">
        <w:rPr>
          <w:rFonts w:eastAsiaTheme="minorHAnsi"/>
          <w:b/>
          <w:bCs/>
          <w:sz w:val="22"/>
          <w:szCs w:val="22"/>
          <w:lang w:eastAsia="en-US"/>
        </w:rPr>
        <w:t>Priorix</w:t>
      </w:r>
      <w:proofErr w:type="spellEnd"/>
      <w:r w:rsidRPr="00D64B73">
        <w:rPr>
          <w:rFonts w:eastAsiaTheme="minorHAnsi"/>
          <w:b/>
          <w:bCs/>
          <w:sz w:val="22"/>
          <w:szCs w:val="22"/>
          <w:lang w:eastAsia="en-US"/>
        </w:rPr>
        <w:t>, MMR, VAXPRO)</w:t>
      </w:r>
      <w:r w:rsidRPr="00D64B73">
        <w:rPr>
          <w:rFonts w:eastAsiaTheme="minorHAnsi"/>
          <w:sz w:val="22"/>
          <w:szCs w:val="22"/>
          <w:lang w:eastAsia="en-US"/>
        </w:rPr>
        <w:t xml:space="preserve"> </w:t>
      </w:r>
    </w:p>
    <w:p w:rsidR="00F81022" w:rsidRPr="00D64B73" w:rsidRDefault="00F81022" w:rsidP="00F81022">
      <w:pPr>
        <w:widowControl/>
        <w:spacing w:line="259" w:lineRule="auto"/>
        <w:ind w:left="720"/>
        <w:contextualSpacing/>
        <w:rPr>
          <w:rFonts w:eastAsiaTheme="minorHAnsi"/>
          <w:sz w:val="22"/>
          <w:szCs w:val="22"/>
          <w:lang w:eastAsia="en-US"/>
        </w:rPr>
      </w:pPr>
      <w:r w:rsidRPr="00D64B73">
        <w:rPr>
          <w:rFonts w:eastAsiaTheme="minorHAnsi"/>
          <w:sz w:val="22"/>
          <w:szCs w:val="22"/>
          <w:lang w:eastAsia="en-US"/>
        </w:rPr>
        <w:t xml:space="preserve">Ges inom 72 </w:t>
      </w:r>
      <w:proofErr w:type="spellStart"/>
      <w:r w:rsidRPr="00D64B73">
        <w:rPr>
          <w:rFonts w:eastAsiaTheme="minorHAnsi"/>
          <w:sz w:val="22"/>
          <w:szCs w:val="22"/>
          <w:lang w:eastAsia="en-US"/>
        </w:rPr>
        <w:t>tim</w:t>
      </w:r>
      <w:proofErr w:type="spellEnd"/>
      <w:r w:rsidRPr="00D64B73">
        <w:rPr>
          <w:rFonts w:eastAsiaTheme="minorHAnsi"/>
          <w:sz w:val="22"/>
          <w:szCs w:val="22"/>
          <w:lang w:eastAsia="en-US"/>
        </w:rPr>
        <w:t xml:space="preserve"> efter exponering. </w:t>
      </w:r>
    </w:p>
    <w:p w:rsidR="00F81022" w:rsidRPr="00D64B73" w:rsidRDefault="00F81022" w:rsidP="00F81022">
      <w:pPr>
        <w:widowControl/>
        <w:numPr>
          <w:ilvl w:val="0"/>
          <w:numId w:val="1"/>
        </w:numPr>
        <w:spacing w:after="160" w:line="259" w:lineRule="auto"/>
        <w:contextualSpacing/>
        <w:rPr>
          <w:rFonts w:eastAsiaTheme="minorHAnsi"/>
          <w:sz w:val="22"/>
          <w:szCs w:val="22"/>
          <w:lang w:eastAsia="en-US"/>
        </w:rPr>
      </w:pPr>
      <w:r w:rsidRPr="00D64B73">
        <w:rPr>
          <w:rFonts w:eastAsiaTheme="minorHAnsi"/>
          <w:sz w:val="22"/>
          <w:szCs w:val="22"/>
          <w:lang w:eastAsia="en-US"/>
        </w:rPr>
        <w:t xml:space="preserve">Levande vaccin – ges ej till gravida eller </w:t>
      </w:r>
      <w:proofErr w:type="spellStart"/>
      <w:r w:rsidRPr="00D64B73">
        <w:rPr>
          <w:rFonts w:eastAsiaTheme="minorHAnsi"/>
          <w:sz w:val="22"/>
          <w:szCs w:val="22"/>
          <w:lang w:eastAsia="en-US"/>
        </w:rPr>
        <w:t>immunsupprimerade</w:t>
      </w:r>
      <w:proofErr w:type="spellEnd"/>
      <w:r w:rsidRPr="00D64B73">
        <w:rPr>
          <w:rFonts w:eastAsiaTheme="minorHAnsi"/>
          <w:sz w:val="22"/>
          <w:szCs w:val="22"/>
          <w:lang w:eastAsia="en-US"/>
        </w:rPr>
        <w:t>.</w:t>
      </w:r>
    </w:p>
    <w:p w:rsidR="00F81022" w:rsidRPr="00D64B73" w:rsidRDefault="00F81022" w:rsidP="00F81022">
      <w:pPr>
        <w:widowControl/>
        <w:numPr>
          <w:ilvl w:val="0"/>
          <w:numId w:val="1"/>
        </w:numPr>
        <w:spacing w:after="160" w:line="259" w:lineRule="auto"/>
        <w:contextualSpacing/>
        <w:rPr>
          <w:rFonts w:eastAsiaTheme="minorHAnsi"/>
          <w:sz w:val="22"/>
          <w:szCs w:val="22"/>
          <w:lang w:eastAsia="en-US"/>
        </w:rPr>
      </w:pPr>
      <w:r w:rsidRPr="00D64B73">
        <w:rPr>
          <w:rFonts w:eastAsiaTheme="minorHAnsi"/>
          <w:sz w:val="22"/>
          <w:szCs w:val="22"/>
          <w:lang w:eastAsia="en-US"/>
        </w:rPr>
        <w:t>Ej till barn under 6 månader.</w:t>
      </w:r>
    </w:p>
    <w:p w:rsidR="00F81022" w:rsidRPr="00D64B73" w:rsidRDefault="00F81022" w:rsidP="00F81022">
      <w:pPr>
        <w:widowControl/>
        <w:numPr>
          <w:ilvl w:val="0"/>
          <w:numId w:val="1"/>
        </w:numPr>
        <w:spacing w:after="160" w:line="259" w:lineRule="auto"/>
        <w:contextualSpacing/>
        <w:rPr>
          <w:rFonts w:eastAsiaTheme="minorHAnsi"/>
          <w:sz w:val="22"/>
          <w:szCs w:val="22"/>
          <w:lang w:eastAsia="en-US"/>
        </w:rPr>
      </w:pPr>
      <w:r w:rsidRPr="00D64B73">
        <w:rPr>
          <w:rFonts w:eastAsiaTheme="minorHAnsi"/>
          <w:sz w:val="22"/>
          <w:szCs w:val="22"/>
          <w:lang w:eastAsia="en-US"/>
        </w:rPr>
        <w:t>Ordinera 1 dos vaccin, använd vaccinationsfliken för barn 12 mån eller äldre och läkemedelsfliken för barn 6-12 månader.</w:t>
      </w:r>
    </w:p>
    <w:p w:rsidR="00F81022" w:rsidRPr="00D64B73" w:rsidRDefault="00F81022" w:rsidP="00F81022">
      <w:pPr>
        <w:widowControl/>
        <w:spacing w:line="259" w:lineRule="auto"/>
        <w:ind w:left="720"/>
        <w:contextualSpacing/>
        <w:rPr>
          <w:rFonts w:eastAsiaTheme="minorHAnsi"/>
          <w:sz w:val="22"/>
          <w:szCs w:val="22"/>
          <w:lang w:eastAsia="en-US"/>
        </w:rPr>
      </w:pPr>
    </w:p>
    <w:p w:rsidR="00F81022" w:rsidRPr="00D64B73" w:rsidRDefault="00F81022" w:rsidP="00F81022">
      <w:pPr>
        <w:widowControl/>
        <w:spacing w:line="259" w:lineRule="auto"/>
        <w:rPr>
          <w:rFonts w:eastAsiaTheme="minorHAnsi"/>
          <w:sz w:val="22"/>
          <w:szCs w:val="22"/>
          <w:lang w:eastAsia="en-US"/>
        </w:rPr>
      </w:pPr>
      <w:r w:rsidRPr="00D64B73">
        <w:rPr>
          <w:rFonts w:eastAsiaTheme="minorHAnsi"/>
          <w:b/>
          <w:bCs/>
          <w:sz w:val="22"/>
          <w:szCs w:val="22"/>
          <w:lang w:eastAsia="en-US"/>
        </w:rPr>
        <w:t>Immunoglobulin</w:t>
      </w:r>
      <w:r w:rsidRPr="00D64B73">
        <w:rPr>
          <w:rFonts w:eastAsiaTheme="minorHAnsi"/>
          <w:sz w:val="22"/>
          <w:szCs w:val="22"/>
          <w:lang w:eastAsia="en-US"/>
        </w:rPr>
        <w:t xml:space="preserve"> (</w:t>
      </w:r>
      <w:proofErr w:type="spellStart"/>
      <w:r w:rsidRPr="00D64B73">
        <w:rPr>
          <w:rFonts w:eastAsiaTheme="minorHAnsi"/>
          <w:sz w:val="22"/>
          <w:szCs w:val="22"/>
          <w:lang w:eastAsia="en-US"/>
        </w:rPr>
        <w:t>Berigard</w:t>
      </w:r>
      <w:proofErr w:type="spellEnd"/>
      <w:r w:rsidRPr="00D64B73">
        <w:rPr>
          <w:rFonts w:eastAsiaTheme="minorHAnsi"/>
          <w:sz w:val="22"/>
          <w:szCs w:val="22"/>
          <w:lang w:eastAsia="en-US"/>
        </w:rPr>
        <w:t xml:space="preserve">, </w:t>
      </w:r>
      <w:proofErr w:type="spellStart"/>
      <w:r w:rsidRPr="00D64B73">
        <w:rPr>
          <w:rFonts w:eastAsiaTheme="minorHAnsi"/>
          <w:sz w:val="22"/>
          <w:szCs w:val="22"/>
          <w:lang w:eastAsia="en-US"/>
        </w:rPr>
        <w:t>Subcuvia</w:t>
      </w:r>
      <w:proofErr w:type="spellEnd"/>
      <w:r w:rsidRPr="00D64B73">
        <w:rPr>
          <w:rFonts w:eastAsiaTheme="minorHAnsi"/>
          <w:sz w:val="22"/>
          <w:szCs w:val="22"/>
          <w:lang w:eastAsia="en-US"/>
        </w:rPr>
        <w:t xml:space="preserve">, Gammanorm – likvärdiga men </w:t>
      </w:r>
      <w:proofErr w:type="spellStart"/>
      <w:r w:rsidRPr="00D64B73">
        <w:rPr>
          <w:rFonts w:eastAsiaTheme="minorHAnsi"/>
          <w:sz w:val="22"/>
          <w:szCs w:val="22"/>
          <w:lang w:eastAsia="en-US"/>
        </w:rPr>
        <w:t>Berigard</w:t>
      </w:r>
      <w:proofErr w:type="spellEnd"/>
      <w:r w:rsidRPr="00D64B73">
        <w:rPr>
          <w:rFonts w:eastAsiaTheme="minorHAnsi"/>
          <w:sz w:val="22"/>
          <w:szCs w:val="22"/>
          <w:lang w:eastAsia="en-US"/>
        </w:rPr>
        <w:t xml:space="preserve"> gör lite mindre ont)</w:t>
      </w:r>
    </w:p>
    <w:p w:rsidR="00F81022" w:rsidRPr="00D64B73" w:rsidRDefault="00F81022" w:rsidP="00F81022">
      <w:pPr>
        <w:widowControl/>
        <w:numPr>
          <w:ilvl w:val="0"/>
          <w:numId w:val="1"/>
        </w:numPr>
        <w:spacing w:after="160" w:line="259" w:lineRule="auto"/>
        <w:contextualSpacing/>
        <w:rPr>
          <w:rFonts w:eastAsiaTheme="minorHAnsi"/>
          <w:sz w:val="22"/>
          <w:szCs w:val="22"/>
          <w:lang w:eastAsia="en-US"/>
        </w:rPr>
      </w:pPr>
      <w:r w:rsidRPr="00D64B73">
        <w:rPr>
          <w:rFonts w:eastAsiaTheme="minorHAnsi"/>
          <w:sz w:val="22"/>
          <w:szCs w:val="22"/>
          <w:lang w:eastAsia="en-US"/>
        </w:rPr>
        <w:t>Ges till icke-immuna som ej kan erhålla vaccin.</w:t>
      </w:r>
    </w:p>
    <w:p w:rsidR="00F81022" w:rsidRPr="00D64B73" w:rsidRDefault="00F81022" w:rsidP="00F81022">
      <w:pPr>
        <w:widowControl/>
        <w:numPr>
          <w:ilvl w:val="0"/>
          <w:numId w:val="1"/>
        </w:numPr>
        <w:spacing w:after="160" w:line="259" w:lineRule="auto"/>
        <w:contextualSpacing/>
        <w:rPr>
          <w:rFonts w:eastAsiaTheme="minorHAnsi"/>
          <w:sz w:val="22"/>
          <w:szCs w:val="22"/>
          <w:lang w:eastAsia="en-US"/>
        </w:rPr>
      </w:pPr>
      <w:r w:rsidRPr="00D64B73">
        <w:rPr>
          <w:rFonts w:eastAsiaTheme="minorHAnsi"/>
          <w:sz w:val="22"/>
          <w:szCs w:val="22"/>
          <w:lang w:eastAsia="en-US"/>
        </w:rPr>
        <w:t>Ges inom 6 dygn efter exponering.</w:t>
      </w:r>
    </w:p>
    <w:p w:rsidR="00F81022" w:rsidRPr="00D64B73" w:rsidRDefault="00F81022" w:rsidP="00F81022">
      <w:pPr>
        <w:widowControl/>
        <w:numPr>
          <w:ilvl w:val="0"/>
          <w:numId w:val="1"/>
        </w:numPr>
        <w:spacing w:after="160" w:line="259" w:lineRule="auto"/>
        <w:contextualSpacing/>
        <w:rPr>
          <w:rFonts w:eastAsiaTheme="minorHAnsi"/>
          <w:sz w:val="22"/>
          <w:szCs w:val="22"/>
          <w:lang w:eastAsia="en-US"/>
        </w:rPr>
      </w:pPr>
      <w:r w:rsidRPr="00D64B73">
        <w:rPr>
          <w:rFonts w:eastAsiaTheme="minorHAnsi"/>
          <w:sz w:val="22"/>
          <w:szCs w:val="22"/>
          <w:lang w:eastAsia="en-US"/>
        </w:rPr>
        <w:t xml:space="preserve">Dos: 0,25 ml/kg </w:t>
      </w:r>
      <w:proofErr w:type="spellStart"/>
      <w:r w:rsidRPr="00D64B73">
        <w:rPr>
          <w:rFonts w:eastAsiaTheme="minorHAnsi"/>
          <w:sz w:val="22"/>
          <w:szCs w:val="22"/>
          <w:lang w:eastAsia="en-US"/>
        </w:rPr>
        <w:t>i.m</w:t>
      </w:r>
      <w:proofErr w:type="spellEnd"/>
      <w:r w:rsidRPr="00D64B73">
        <w:rPr>
          <w:rFonts w:eastAsiaTheme="minorHAnsi"/>
          <w:sz w:val="22"/>
          <w:szCs w:val="22"/>
          <w:lang w:eastAsia="en-US"/>
        </w:rPr>
        <w:t>., max 15 ml. Vid doser över 1 ml bör dessa delas upp i 2 separata doser som administreras vid samma tillfälle.</w:t>
      </w:r>
    </w:p>
    <w:p w:rsidR="00F81022" w:rsidRPr="00D64B73" w:rsidRDefault="00F81022" w:rsidP="00F81022">
      <w:pPr>
        <w:widowControl/>
        <w:spacing w:line="259" w:lineRule="auto"/>
        <w:ind w:left="720"/>
        <w:contextualSpacing/>
        <w:rPr>
          <w:rFonts w:eastAsiaTheme="minorHAnsi"/>
          <w:sz w:val="22"/>
          <w:szCs w:val="22"/>
          <w:lang w:eastAsia="en-US"/>
        </w:rPr>
      </w:pPr>
      <w:r w:rsidRPr="00D64B73">
        <w:rPr>
          <w:rFonts w:eastAsiaTheme="minorHAnsi"/>
          <w:sz w:val="22"/>
          <w:szCs w:val="22"/>
          <w:lang w:eastAsia="en-US"/>
        </w:rPr>
        <w:t xml:space="preserve">  </w:t>
      </w:r>
    </w:p>
    <w:p w:rsidR="00F81022" w:rsidRPr="00D64B73" w:rsidRDefault="00F81022" w:rsidP="00F81022">
      <w:pPr>
        <w:widowControl/>
        <w:spacing w:line="259" w:lineRule="auto"/>
        <w:rPr>
          <w:rFonts w:eastAsiaTheme="minorHAnsi"/>
          <w:sz w:val="22"/>
          <w:szCs w:val="22"/>
          <w:lang w:eastAsia="en-US"/>
        </w:rPr>
      </w:pPr>
    </w:p>
    <w:p w:rsidR="00F81022" w:rsidRPr="00D64B73" w:rsidRDefault="00F81022" w:rsidP="00F81022">
      <w:pPr>
        <w:widowControl/>
        <w:spacing w:line="259" w:lineRule="auto"/>
        <w:rPr>
          <w:rFonts w:eastAsiaTheme="minorHAnsi"/>
          <w:sz w:val="22"/>
          <w:szCs w:val="22"/>
          <w:lang w:eastAsia="en-US"/>
        </w:rPr>
      </w:pPr>
      <w:r w:rsidRPr="00D64B73">
        <w:rPr>
          <w:rFonts w:eastAsiaTheme="minorHAnsi"/>
          <w:sz w:val="22"/>
          <w:szCs w:val="22"/>
          <w:lang w:eastAsia="en-US"/>
        </w:rPr>
        <w:t xml:space="preserve">Vuxna som erhållit en dos, men ej två, bör fylla på med ytterligare en dos så snart som möjligt (ej jourtid), helst via vaccinationsmottagning eller vuxeninfektion. Icke-immuna som ej hinner erhålla PEP bör få råd att vaccinera sig mot mässling via vaccinationsmottagning efter det att inkubationstiden löpt ut. </w:t>
      </w:r>
    </w:p>
    <w:p w:rsidR="00F81022" w:rsidRDefault="00F81022" w:rsidP="00F81022">
      <w:pPr>
        <w:widowControl/>
        <w:spacing w:line="259" w:lineRule="auto"/>
        <w:rPr>
          <w:rFonts w:eastAsiaTheme="minorHAnsi"/>
          <w:sz w:val="22"/>
          <w:szCs w:val="22"/>
          <w:lang w:eastAsia="en-US"/>
        </w:rPr>
      </w:pPr>
    </w:p>
    <w:p w:rsidR="00F81022" w:rsidRDefault="00F81022" w:rsidP="00F81022">
      <w:pPr>
        <w:widowControl/>
        <w:spacing w:line="259" w:lineRule="auto"/>
        <w:rPr>
          <w:rFonts w:eastAsiaTheme="minorHAnsi"/>
          <w:sz w:val="22"/>
          <w:szCs w:val="22"/>
          <w:lang w:eastAsia="en-US"/>
        </w:rPr>
      </w:pPr>
    </w:p>
    <w:p w:rsidR="00F81022" w:rsidRDefault="00F81022" w:rsidP="00F81022">
      <w:pPr>
        <w:widowControl/>
        <w:spacing w:line="259" w:lineRule="auto"/>
        <w:rPr>
          <w:rFonts w:eastAsiaTheme="minorHAnsi"/>
          <w:sz w:val="22"/>
          <w:szCs w:val="22"/>
          <w:lang w:eastAsia="en-US"/>
        </w:rPr>
      </w:pPr>
    </w:p>
    <w:p w:rsidR="00F81022" w:rsidRDefault="00F81022" w:rsidP="00F81022">
      <w:pPr>
        <w:widowControl/>
        <w:spacing w:line="259" w:lineRule="auto"/>
        <w:rPr>
          <w:rFonts w:eastAsiaTheme="minorHAnsi"/>
          <w:sz w:val="22"/>
          <w:szCs w:val="22"/>
          <w:lang w:eastAsia="en-US"/>
        </w:rPr>
      </w:pPr>
    </w:p>
    <w:p w:rsidR="00F81022" w:rsidRDefault="00F81022" w:rsidP="00F81022">
      <w:pPr>
        <w:widowControl/>
        <w:spacing w:line="259" w:lineRule="auto"/>
        <w:rPr>
          <w:rFonts w:eastAsiaTheme="minorHAnsi"/>
          <w:sz w:val="22"/>
          <w:szCs w:val="22"/>
          <w:lang w:eastAsia="en-US"/>
        </w:rPr>
      </w:pPr>
    </w:p>
    <w:p w:rsidR="00F81022" w:rsidRPr="00D64B73" w:rsidRDefault="00F81022" w:rsidP="00F81022">
      <w:pPr>
        <w:widowControl/>
        <w:spacing w:line="259" w:lineRule="auto"/>
        <w:rPr>
          <w:rFonts w:eastAsiaTheme="minorHAnsi"/>
          <w:sz w:val="22"/>
          <w:szCs w:val="22"/>
          <w:lang w:eastAsia="en-US"/>
        </w:rPr>
      </w:pPr>
    </w:p>
    <w:p w:rsidR="00F81022" w:rsidRPr="00D64B73" w:rsidRDefault="00F81022" w:rsidP="00F81022">
      <w:pPr>
        <w:widowControl/>
        <w:spacing w:line="259" w:lineRule="auto"/>
        <w:rPr>
          <w:rFonts w:eastAsiaTheme="minorHAnsi"/>
          <w:sz w:val="22"/>
          <w:szCs w:val="22"/>
          <w:lang w:eastAsia="en-US"/>
        </w:rPr>
      </w:pPr>
      <w:bookmarkStart w:id="1" w:name="_GoBack"/>
      <w:bookmarkEnd w:id="1"/>
    </w:p>
    <w:tbl>
      <w:tblPr>
        <w:tblStyle w:val="Tabellrutnt"/>
        <w:tblW w:w="0" w:type="auto"/>
        <w:tblBorders>
          <w:insideH w:val="none" w:sz="0" w:space="0" w:color="auto"/>
          <w:insideV w:val="none" w:sz="0" w:space="0" w:color="auto"/>
        </w:tblBorders>
        <w:tblLook w:val="04A0" w:firstRow="1" w:lastRow="0" w:firstColumn="1" w:lastColumn="0" w:noHBand="0" w:noVBand="1"/>
      </w:tblPr>
      <w:tblGrid>
        <w:gridCol w:w="381"/>
        <w:gridCol w:w="9069"/>
      </w:tblGrid>
      <w:tr w:rsidR="00F81022" w:rsidRPr="00D64B73" w:rsidTr="00C95731">
        <w:tc>
          <w:tcPr>
            <w:tcW w:w="279" w:type="dxa"/>
          </w:tcPr>
          <w:p w:rsidR="00F81022" w:rsidRPr="00D64B73" w:rsidRDefault="00F81022" w:rsidP="00C95731">
            <w:pPr>
              <w:widowControl/>
              <w:spacing w:line="259" w:lineRule="auto"/>
              <w:rPr>
                <w:rFonts w:eastAsiaTheme="minorHAnsi"/>
                <w:sz w:val="22"/>
                <w:szCs w:val="22"/>
                <w:lang w:eastAsia="en-US"/>
              </w:rPr>
            </w:pPr>
            <w:r w:rsidRPr="00D64B73">
              <w:rPr>
                <w:rFonts w:eastAsiaTheme="minorHAnsi"/>
                <w:sz w:val="22"/>
                <w:szCs w:val="22"/>
                <w:lang w:eastAsia="en-US"/>
              </w:rPr>
              <w:t>1.</w:t>
            </w:r>
          </w:p>
        </w:tc>
        <w:tc>
          <w:tcPr>
            <w:tcW w:w="9069" w:type="dxa"/>
          </w:tcPr>
          <w:p w:rsidR="00F81022" w:rsidRDefault="00F81022" w:rsidP="00C95731">
            <w:pPr>
              <w:widowControl/>
              <w:spacing w:after="160" w:line="259" w:lineRule="auto"/>
              <w:contextualSpacing/>
              <w:rPr>
                <w:rFonts w:eastAsiaTheme="minorHAnsi"/>
                <w:sz w:val="22"/>
                <w:szCs w:val="22"/>
                <w:lang w:eastAsia="en-US"/>
              </w:rPr>
            </w:pPr>
            <w:r w:rsidRPr="00D64B73">
              <w:rPr>
                <w:rFonts w:eastAsiaTheme="minorHAnsi"/>
                <w:sz w:val="22"/>
                <w:szCs w:val="22"/>
                <w:lang w:eastAsia="en-US"/>
              </w:rPr>
              <w:t xml:space="preserve">Behöver PEP ges? Ta ställning till individens immunitet (se Smittskydd </w:t>
            </w:r>
            <w:proofErr w:type="spellStart"/>
            <w:r w:rsidRPr="00D64B73">
              <w:rPr>
                <w:rFonts w:eastAsiaTheme="minorHAnsi"/>
                <w:sz w:val="22"/>
                <w:szCs w:val="22"/>
                <w:lang w:eastAsia="en-US"/>
              </w:rPr>
              <w:t>Sthlms</w:t>
            </w:r>
            <w:proofErr w:type="spellEnd"/>
            <w:r w:rsidRPr="00D64B73">
              <w:rPr>
                <w:rFonts w:eastAsiaTheme="minorHAnsi"/>
                <w:sz w:val="22"/>
                <w:szCs w:val="22"/>
                <w:lang w:eastAsia="en-US"/>
              </w:rPr>
              <w:t xml:space="preserve"> PM mässling, bilaga 1), länk via Inuti och våra akuta PM </w:t>
            </w:r>
          </w:p>
          <w:p w:rsidR="00F81022" w:rsidRPr="00D64B73" w:rsidRDefault="00F81022" w:rsidP="00C95731">
            <w:pPr>
              <w:widowControl/>
              <w:spacing w:after="160" w:line="259" w:lineRule="auto"/>
              <w:contextualSpacing/>
              <w:rPr>
                <w:rFonts w:eastAsiaTheme="minorHAnsi"/>
                <w:sz w:val="22"/>
                <w:szCs w:val="22"/>
                <w:lang w:eastAsia="en-US"/>
              </w:rPr>
            </w:pPr>
            <w:r w:rsidRPr="00D64B73">
              <w:rPr>
                <w:rFonts w:eastAsiaTheme="minorHAnsi"/>
                <w:sz w:val="22"/>
                <w:szCs w:val="22"/>
                <w:lang w:eastAsia="en-US"/>
              </w:rPr>
              <w:t xml:space="preserve">  </w:t>
            </w:r>
          </w:p>
        </w:tc>
      </w:tr>
      <w:tr w:rsidR="00F81022" w:rsidRPr="00D64B73" w:rsidTr="00C95731">
        <w:tc>
          <w:tcPr>
            <w:tcW w:w="279" w:type="dxa"/>
          </w:tcPr>
          <w:p w:rsidR="00F81022" w:rsidRPr="00D64B73" w:rsidRDefault="00F81022" w:rsidP="00C95731">
            <w:pPr>
              <w:widowControl/>
              <w:spacing w:line="259" w:lineRule="auto"/>
              <w:rPr>
                <w:rFonts w:eastAsiaTheme="minorHAnsi"/>
                <w:sz w:val="22"/>
                <w:szCs w:val="22"/>
                <w:lang w:eastAsia="en-US"/>
              </w:rPr>
            </w:pPr>
            <w:r>
              <w:rPr>
                <w:rFonts w:eastAsiaTheme="minorHAnsi"/>
                <w:sz w:val="22"/>
                <w:szCs w:val="22"/>
                <w:lang w:eastAsia="en-US"/>
              </w:rPr>
              <w:t>2.</w:t>
            </w:r>
          </w:p>
        </w:tc>
        <w:tc>
          <w:tcPr>
            <w:tcW w:w="9069" w:type="dxa"/>
          </w:tcPr>
          <w:p w:rsidR="00F81022" w:rsidRDefault="00F81022" w:rsidP="00C95731">
            <w:pPr>
              <w:widowControl/>
              <w:spacing w:after="160" w:line="259" w:lineRule="auto"/>
              <w:contextualSpacing/>
              <w:rPr>
                <w:rFonts w:eastAsiaTheme="minorHAnsi"/>
                <w:sz w:val="22"/>
                <w:szCs w:val="22"/>
                <w:lang w:eastAsia="en-US"/>
              </w:rPr>
            </w:pPr>
            <w:r w:rsidRPr="00D64B73">
              <w:rPr>
                <w:rFonts w:eastAsiaTheme="minorHAnsi"/>
                <w:sz w:val="22"/>
                <w:szCs w:val="22"/>
                <w:lang w:eastAsia="en-US"/>
              </w:rPr>
              <w:t>Val av PEP (vaccin alt</w:t>
            </w:r>
            <w:r>
              <w:rPr>
                <w:rFonts w:eastAsiaTheme="minorHAnsi"/>
                <w:sz w:val="22"/>
                <w:szCs w:val="22"/>
                <w:lang w:eastAsia="en-US"/>
              </w:rPr>
              <w:t>.</w:t>
            </w:r>
            <w:r w:rsidRPr="00D64B73">
              <w:rPr>
                <w:rFonts w:eastAsiaTheme="minorHAnsi"/>
                <w:sz w:val="22"/>
                <w:szCs w:val="22"/>
                <w:lang w:eastAsia="en-US"/>
              </w:rPr>
              <w:t xml:space="preserve"> immunoglobulin), se ovan. Gå igenom hälsodeklaration om vaccin ska ges</w:t>
            </w:r>
            <w:r>
              <w:rPr>
                <w:rFonts w:eastAsiaTheme="minorHAnsi"/>
                <w:sz w:val="22"/>
                <w:szCs w:val="22"/>
                <w:lang w:eastAsia="en-US"/>
              </w:rPr>
              <w:t>.</w:t>
            </w:r>
          </w:p>
          <w:p w:rsidR="00F81022" w:rsidRPr="00D64B73" w:rsidRDefault="00F81022" w:rsidP="00C95731">
            <w:pPr>
              <w:widowControl/>
              <w:spacing w:after="160" w:line="259" w:lineRule="auto"/>
              <w:contextualSpacing/>
              <w:rPr>
                <w:rFonts w:eastAsiaTheme="minorHAnsi"/>
                <w:sz w:val="22"/>
                <w:szCs w:val="22"/>
                <w:lang w:eastAsia="en-US"/>
              </w:rPr>
            </w:pPr>
          </w:p>
        </w:tc>
      </w:tr>
      <w:tr w:rsidR="00F81022" w:rsidRPr="00D64B73" w:rsidTr="00C95731">
        <w:tc>
          <w:tcPr>
            <w:tcW w:w="279" w:type="dxa"/>
          </w:tcPr>
          <w:p w:rsidR="00F81022" w:rsidRPr="00D64B73" w:rsidRDefault="00F81022" w:rsidP="00C95731">
            <w:pPr>
              <w:widowControl/>
              <w:spacing w:line="259" w:lineRule="auto"/>
              <w:rPr>
                <w:rFonts w:eastAsiaTheme="minorHAnsi"/>
                <w:sz w:val="22"/>
                <w:szCs w:val="22"/>
                <w:lang w:eastAsia="en-US"/>
              </w:rPr>
            </w:pPr>
            <w:r>
              <w:rPr>
                <w:rFonts w:eastAsiaTheme="minorHAnsi"/>
                <w:sz w:val="22"/>
                <w:szCs w:val="22"/>
                <w:lang w:eastAsia="en-US"/>
              </w:rPr>
              <w:t>3.</w:t>
            </w:r>
          </w:p>
        </w:tc>
        <w:tc>
          <w:tcPr>
            <w:tcW w:w="9069" w:type="dxa"/>
          </w:tcPr>
          <w:p w:rsidR="00F81022" w:rsidRDefault="00F81022" w:rsidP="00C95731">
            <w:pPr>
              <w:widowControl/>
              <w:spacing w:after="160" w:line="259" w:lineRule="auto"/>
              <w:contextualSpacing/>
              <w:rPr>
                <w:rFonts w:eastAsiaTheme="minorHAnsi"/>
                <w:sz w:val="22"/>
                <w:szCs w:val="22"/>
                <w:lang w:eastAsia="en-US"/>
              </w:rPr>
            </w:pPr>
            <w:r w:rsidRPr="00D64B73">
              <w:rPr>
                <w:rFonts w:eastAsiaTheme="minorHAnsi"/>
                <w:sz w:val="22"/>
                <w:szCs w:val="22"/>
                <w:lang w:eastAsia="en-US"/>
              </w:rPr>
              <w:t>Ordinera PEP i TC (läkemedelsflik alternativt vaccinationsflik)</w:t>
            </w:r>
          </w:p>
          <w:p w:rsidR="00F81022" w:rsidRPr="00D64B73" w:rsidRDefault="00F81022" w:rsidP="00C95731">
            <w:pPr>
              <w:widowControl/>
              <w:spacing w:after="160" w:line="259" w:lineRule="auto"/>
              <w:contextualSpacing/>
              <w:rPr>
                <w:rFonts w:eastAsiaTheme="minorHAnsi"/>
                <w:sz w:val="22"/>
                <w:szCs w:val="22"/>
                <w:lang w:eastAsia="en-US"/>
              </w:rPr>
            </w:pPr>
          </w:p>
        </w:tc>
      </w:tr>
      <w:tr w:rsidR="00F81022" w:rsidRPr="00D64B73" w:rsidTr="00C95731">
        <w:tc>
          <w:tcPr>
            <w:tcW w:w="279" w:type="dxa"/>
          </w:tcPr>
          <w:p w:rsidR="00F81022" w:rsidRPr="00D64B73" w:rsidRDefault="00F81022" w:rsidP="00C95731">
            <w:pPr>
              <w:widowControl/>
              <w:spacing w:line="259" w:lineRule="auto"/>
              <w:rPr>
                <w:rFonts w:eastAsiaTheme="minorHAnsi"/>
                <w:sz w:val="22"/>
                <w:szCs w:val="22"/>
                <w:lang w:eastAsia="en-US"/>
              </w:rPr>
            </w:pPr>
            <w:r>
              <w:rPr>
                <w:rFonts w:eastAsiaTheme="minorHAnsi"/>
                <w:sz w:val="22"/>
                <w:szCs w:val="22"/>
                <w:lang w:eastAsia="en-US"/>
              </w:rPr>
              <w:t>4.</w:t>
            </w:r>
          </w:p>
        </w:tc>
        <w:tc>
          <w:tcPr>
            <w:tcW w:w="9069" w:type="dxa"/>
          </w:tcPr>
          <w:p w:rsidR="00F81022" w:rsidRDefault="00F81022" w:rsidP="00C95731">
            <w:pPr>
              <w:widowControl/>
              <w:spacing w:after="160" w:line="259" w:lineRule="auto"/>
              <w:contextualSpacing/>
              <w:rPr>
                <w:rFonts w:eastAsiaTheme="minorHAnsi"/>
                <w:sz w:val="22"/>
                <w:szCs w:val="22"/>
                <w:lang w:eastAsia="en-US"/>
              </w:rPr>
            </w:pPr>
            <w:r w:rsidRPr="00D64B73">
              <w:rPr>
                <w:rFonts w:eastAsiaTheme="minorHAnsi"/>
                <w:sz w:val="22"/>
                <w:szCs w:val="22"/>
                <w:lang w:eastAsia="en-US"/>
              </w:rPr>
              <w:t xml:space="preserve">Skriv en kort journalanteckning </w:t>
            </w:r>
          </w:p>
          <w:p w:rsidR="00F81022" w:rsidRPr="00D64B73" w:rsidRDefault="00F81022" w:rsidP="00C95731">
            <w:pPr>
              <w:widowControl/>
              <w:spacing w:after="160" w:line="259" w:lineRule="auto"/>
              <w:contextualSpacing/>
              <w:rPr>
                <w:rFonts w:eastAsiaTheme="minorHAnsi"/>
                <w:sz w:val="22"/>
                <w:szCs w:val="22"/>
                <w:lang w:eastAsia="en-US"/>
              </w:rPr>
            </w:pPr>
          </w:p>
        </w:tc>
      </w:tr>
      <w:tr w:rsidR="00F81022" w:rsidRPr="00D64B73" w:rsidTr="00C95731">
        <w:tc>
          <w:tcPr>
            <w:tcW w:w="279" w:type="dxa"/>
          </w:tcPr>
          <w:p w:rsidR="00F81022" w:rsidRPr="00D64B73" w:rsidRDefault="00F81022" w:rsidP="00C95731">
            <w:pPr>
              <w:widowControl/>
              <w:spacing w:line="259" w:lineRule="auto"/>
              <w:rPr>
                <w:rFonts w:eastAsiaTheme="minorHAnsi"/>
                <w:sz w:val="22"/>
                <w:szCs w:val="22"/>
                <w:lang w:eastAsia="en-US"/>
              </w:rPr>
            </w:pPr>
            <w:r>
              <w:rPr>
                <w:rFonts w:eastAsiaTheme="minorHAnsi"/>
                <w:sz w:val="22"/>
                <w:szCs w:val="22"/>
                <w:lang w:eastAsia="en-US"/>
              </w:rPr>
              <w:t>5.</w:t>
            </w:r>
          </w:p>
        </w:tc>
        <w:tc>
          <w:tcPr>
            <w:tcW w:w="9069" w:type="dxa"/>
          </w:tcPr>
          <w:p w:rsidR="00F81022" w:rsidRPr="00D64B73" w:rsidRDefault="00F81022" w:rsidP="00C95731">
            <w:pPr>
              <w:widowControl/>
              <w:spacing w:after="160" w:line="259" w:lineRule="auto"/>
              <w:contextualSpacing/>
              <w:rPr>
                <w:rFonts w:eastAsiaTheme="minorHAnsi"/>
                <w:sz w:val="22"/>
                <w:szCs w:val="22"/>
                <w:lang w:eastAsia="en-US"/>
              </w:rPr>
            </w:pPr>
            <w:r w:rsidRPr="00D64B73">
              <w:rPr>
                <w:rFonts w:eastAsiaTheme="minorHAnsi"/>
                <w:sz w:val="22"/>
                <w:szCs w:val="22"/>
                <w:lang w:eastAsia="en-US"/>
              </w:rPr>
              <w:t>Diagnoskoder</w:t>
            </w:r>
          </w:p>
          <w:p w:rsidR="00F81022" w:rsidRPr="00D64B73" w:rsidRDefault="00F81022" w:rsidP="00C95731">
            <w:pPr>
              <w:widowControl/>
              <w:spacing w:line="259" w:lineRule="auto"/>
              <w:rPr>
                <w:rFonts w:eastAsiaTheme="minorHAnsi"/>
                <w:sz w:val="22"/>
                <w:szCs w:val="22"/>
                <w:lang w:eastAsia="en-US"/>
              </w:rPr>
            </w:pPr>
            <w:r w:rsidRPr="00D64B73">
              <w:rPr>
                <w:rFonts w:eastAsiaTheme="minorHAnsi"/>
                <w:sz w:val="22"/>
                <w:szCs w:val="22"/>
                <w:lang w:eastAsia="en-US"/>
              </w:rPr>
              <w:t>Z20.8</w:t>
            </w:r>
            <w:r w:rsidRPr="00D64B73">
              <w:rPr>
                <w:rFonts w:eastAsiaTheme="minorHAnsi"/>
                <w:sz w:val="22"/>
                <w:szCs w:val="22"/>
                <w:lang w:eastAsia="en-US"/>
              </w:rPr>
              <w:tab/>
              <w:t xml:space="preserve">Kontakt med och exponering för andra smittsamma sjukdomar </w:t>
            </w:r>
          </w:p>
          <w:p w:rsidR="00F81022" w:rsidRPr="00D64B73" w:rsidRDefault="00F81022" w:rsidP="00C95731">
            <w:pPr>
              <w:widowControl/>
              <w:spacing w:line="259" w:lineRule="auto"/>
              <w:rPr>
                <w:rFonts w:eastAsiaTheme="minorHAnsi"/>
                <w:sz w:val="22"/>
                <w:szCs w:val="22"/>
                <w:lang w:eastAsia="en-US"/>
              </w:rPr>
            </w:pPr>
            <w:r w:rsidRPr="00D64B73">
              <w:rPr>
                <w:rFonts w:eastAsiaTheme="minorHAnsi"/>
                <w:sz w:val="22"/>
                <w:szCs w:val="22"/>
                <w:lang w:eastAsia="en-US"/>
              </w:rPr>
              <w:t>Z27.4</w:t>
            </w:r>
            <w:r w:rsidRPr="00D64B73">
              <w:rPr>
                <w:rFonts w:eastAsiaTheme="minorHAnsi"/>
                <w:sz w:val="22"/>
                <w:szCs w:val="22"/>
                <w:lang w:eastAsia="en-US"/>
              </w:rPr>
              <w:tab/>
              <w:t>Vaccination mot mässling, påssjuka och röda hund</w:t>
            </w:r>
          </w:p>
          <w:p w:rsidR="00F81022" w:rsidRDefault="00F81022" w:rsidP="00C95731">
            <w:pPr>
              <w:widowControl/>
              <w:spacing w:after="160" w:line="259" w:lineRule="auto"/>
              <w:contextualSpacing/>
              <w:rPr>
                <w:rFonts w:eastAsiaTheme="minorHAnsi"/>
                <w:sz w:val="22"/>
                <w:szCs w:val="22"/>
                <w:lang w:eastAsia="en-US"/>
              </w:rPr>
            </w:pPr>
            <w:r w:rsidRPr="00D64B73">
              <w:rPr>
                <w:rFonts w:eastAsiaTheme="minorHAnsi"/>
                <w:sz w:val="22"/>
                <w:szCs w:val="22"/>
                <w:lang w:eastAsia="en-US"/>
              </w:rPr>
              <w:t>Z29.1</w:t>
            </w:r>
            <w:r w:rsidRPr="00D64B73">
              <w:rPr>
                <w:rFonts w:eastAsiaTheme="minorHAnsi"/>
                <w:sz w:val="22"/>
                <w:szCs w:val="22"/>
                <w:lang w:eastAsia="en-US"/>
              </w:rPr>
              <w:tab/>
              <w:t>Förebyggande immunoterapi</w:t>
            </w:r>
          </w:p>
          <w:p w:rsidR="00F81022" w:rsidRPr="00D64B73" w:rsidRDefault="00F81022" w:rsidP="00C95731">
            <w:pPr>
              <w:widowControl/>
              <w:spacing w:after="160" w:line="259" w:lineRule="auto"/>
              <w:contextualSpacing/>
              <w:rPr>
                <w:rFonts w:eastAsiaTheme="minorHAnsi"/>
                <w:sz w:val="22"/>
                <w:szCs w:val="22"/>
                <w:lang w:eastAsia="en-US"/>
              </w:rPr>
            </w:pPr>
          </w:p>
        </w:tc>
      </w:tr>
      <w:tr w:rsidR="00F81022" w:rsidRPr="00D64B73" w:rsidTr="00C95731">
        <w:tc>
          <w:tcPr>
            <w:tcW w:w="279" w:type="dxa"/>
          </w:tcPr>
          <w:p w:rsidR="00F81022" w:rsidRPr="00D64B73" w:rsidRDefault="00F81022" w:rsidP="00C95731">
            <w:pPr>
              <w:widowControl/>
              <w:spacing w:line="259" w:lineRule="auto"/>
              <w:rPr>
                <w:rFonts w:eastAsiaTheme="minorHAnsi"/>
                <w:sz w:val="22"/>
                <w:szCs w:val="22"/>
                <w:lang w:eastAsia="en-US"/>
              </w:rPr>
            </w:pPr>
            <w:r>
              <w:rPr>
                <w:rFonts w:eastAsiaTheme="minorHAnsi"/>
                <w:sz w:val="22"/>
                <w:szCs w:val="22"/>
                <w:lang w:eastAsia="en-US"/>
              </w:rPr>
              <w:t>6.</w:t>
            </w:r>
          </w:p>
        </w:tc>
        <w:tc>
          <w:tcPr>
            <w:tcW w:w="9069" w:type="dxa"/>
          </w:tcPr>
          <w:p w:rsidR="00F81022" w:rsidRPr="00D64B73" w:rsidRDefault="00F81022" w:rsidP="00C95731">
            <w:pPr>
              <w:widowControl/>
              <w:spacing w:after="160" w:line="259" w:lineRule="auto"/>
              <w:contextualSpacing/>
              <w:rPr>
                <w:rFonts w:eastAsiaTheme="minorHAnsi"/>
                <w:sz w:val="22"/>
                <w:szCs w:val="22"/>
                <w:lang w:eastAsia="en-US"/>
              </w:rPr>
            </w:pPr>
            <w:r w:rsidRPr="00D64B73">
              <w:rPr>
                <w:rFonts w:eastAsiaTheme="minorHAnsi"/>
                <w:sz w:val="22"/>
                <w:szCs w:val="22"/>
                <w:lang w:eastAsia="en-US"/>
              </w:rPr>
              <w:t xml:space="preserve">Om aktuellt med andra vaccinationer i anslutning till PEP, informera enligt nedan och dokumentera i journal vid behov.  </w:t>
            </w:r>
          </w:p>
        </w:tc>
      </w:tr>
    </w:tbl>
    <w:p w:rsidR="00F81022" w:rsidRDefault="00F81022" w:rsidP="00F81022">
      <w:pPr>
        <w:keepNext/>
        <w:keepLines/>
        <w:widowControl/>
        <w:spacing w:before="40" w:line="259" w:lineRule="auto"/>
        <w:outlineLvl w:val="1"/>
        <w:rPr>
          <w:rFonts w:eastAsiaTheme="majorEastAsia"/>
          <w:b/>
          <w:bCs/>
          <w:sz w:val="26"/>
          <w:szCs w:val="26"/>
          <w:lang w:eastAsia="en-US"/>
        </w:rPr>
      </w:pPr>
    </w:p>
    <w:p w:rsidR="00F81022" w:rsidRPr="00D64B73" w:rsidRDefault="00F81022" w:rsidP="00F81022">
      <w:pPr>
        <w:keepNext/>
        <w:keepLines/>
        <w:widowControl/>
        <w:spacing w:before="40" w:line="259" w:lineRule="auto"/>
        <w:outlineLvl w:val="1"/>
        <w:rPr>
          <w:rFonts w:eastAsiaTheme="majorEastAsia"/>
          <w:b/>
          <w:bCs/>
          <w:sz w:val="26"/>
          <w:szCs w:val="26"/>
          <w:lang w:eastAsia="en-US"/>
        </w:rPr>
      </w:pPr>
      <w:r w:rsidRPr="00D64B73">
        <w:rPr>
          <w:rFonts w:eastAsiaTheme="majorEastAsia"/>
          <w:b/>
          <w:bCs/>
          <w:sz w:val="26"/>
          <w:szCs w:val="26"/>
          <w:lang w:eastAsia="en-US"/>
        </w:rPr>
        <w:t>Vaccination i anslutning till post-expositionsprofylax (PEP)</w:t>
      </w:r>
    </w:p>
    <w:p w:rsidR="00F81022" w:rsidRPr="00D64B73" w:rsidRDefault="00F81022" w:rsidP="00F81022">
      <w:pPr>
        <w:widowControl/>
        <w:spacing w:line="259" w:lineRule="auto"/>
        <w:rPr>
          <w:rFonts w:eastAsiaTheme="minorHAnsi"/>
          <w:sz w:val="22"/>
          <w:szCs w:val="22"/>
          <w:lang w:eastAsia="en-US"/>
        </w:rPr>
      </w:pPr>
    </w:p>
    <w:p w:rsidR="00F81022" w:rsidRPr="00D64B73" w:rsidRDefault="00F81022" w:rsidP="00F81022">
      <w:pPr>
        <w:widowControl/>
        <w:spacing w:line="259" w:lineRule="auto"/>
        <w:ind w:left="360"/>
        <w:rPr>
          <w:rFonts w:eastAsiaTheme="minorHAnsi"/>
          <w:b/>
          <w:bCs/>
          <w:sz w:val="22"/>
          <w:szCs w:val="22"/>
          <w:lang w:val="en-GB" w:eastAsia="en-US"/>
        </w:rPr>
      </w:pPr>
      <w:r w:rsidRPr="00D64B73">
        <w:rPr>
          <w:rFonts w:eastAsiaTheme="minorHAnsi"/>
          <w:b/>
          <w:bCs/>
          <w:sz w:val="22"/>
          <w:szCs w:val="22"/>
          <w:lang w:eastAsia="en-US"/>
        </w:rPr>
        <w:t>Efter PEP med immunoglobulin:</w:t>
      </w:r>
    </w:p>
    <w:p w:rsidR="00F81022" w:rsidRPr="00D64B73" w:rsidRDefault="00F81022" w:rsidP="00F81022">
      <w:pPr>
        <w:widowControl/>
        <w:numPr>
          <w:ilvl w:val="0"/>
          <w:numId w:val="1"/>
        </w:numPr>
        <w:spacing w:after="160" w:line="259" w:lineRule="auto"/>
        <w:contextualSpacing/>
        <w:rPr>
          <w:rFonts w:eastAsiaTheme="minorHAnsi"/>
          <w:sz w:val="22"/>
          <w:szCs w:val="22"/>
          <w:lang w:eastAsia="en-US"/>
        </w:rPr>
      </w:pPr>
      <w:r w:rsidRPr="00D64B73">
        <w:rPr>
          <w:rFonts w:eastAsiaTheme="minorHAnsi"/>
          <w:sz w:val="22"/>
          <w:szCs w:val="22"/>
          <w:lang w:eastAsia="en-US"/>
        </w:rPr>
        <w:t xml:space="preserve">Rotavaccination kan ges, men vänta några veckor tills inkubationstiden för mässling har passerat. Vaccination med Rotavirus efter immunoglobulin kan ge en något sämre effekt av Rotavaccinationen, men är ej farligt att ge. </w:t>
      </w:r>
    </w:p>
    <w:p w:rsidR="00F81022" w:rsidRPr="00D64B73" w:rsidRDefault="00F81022" w:rsidP="00F81022">
      <w:pPr>
        <w:widowControl/>
        <w:numPr>
          <w:ilvl w:val="0"/>
          <w:numId w:val="1"/>
        </w:numPr>
        <w:spacing w:after="160" w:line="259" w:lineRule="auto"/>
        <w:contextualSpacing/>
        <w:rPr>
          <w:rFonts w:eastAsiaTheme="minorHAnsi"/>
          <w:sz w:val="22"/>
          <w:szCs w:val="22"/>
          <w:lang w:eastAsia="en-US"/>
        </w:rPr>
      </w:pPr>
      <w:r w:rsidRPr="00D64B73">
        <w:rPr>
          <w:rFonts w:eastAsiaTheme="minorHAnsi"/>
          <w:sz w:val="22"/>
          <w:szCs w:val="22"/>
          <w:lang w:eastAsia="en-US"/>
        </w:rPr>
        <w:t>Immunoglobulin påverkar inte nyligen erhållen vaccination med avdödat virus och planerad vaccination med avdödat virus behöver ej skjutas upp (</w:t>
      </w:r>
      <w:proofErr w:type="spellStart"/>
      <w:r w:rsidRPr="00D64B73">
        <w:rPr>
          <w:rFonts w:eastAsiaTheme="minorHAnsi"/>
          <w:sz w:val="22"/>
          <w:szCs w:val="22"/>
          <w:lang w:eastAsia="en-US"/>
        </w:rPr>
        <w:t>exv</w:t>
      </w:r>
      <w:proofErr w:type="spellEnd"/>
      <w:r w:rsidRPr="00D64B73">
        <w:rPr>
          <w:rFonts w:eastAsiaTheme="minorHAnsi"/>
          <w:sz w:val="22"/>
          <w:szCs w:val="22"/>
          <w:lang w:eastAsia="en-US"/>
        </w:rPr>
        <w:t xml:space="preserve"> DTP).</w:t>
      </w:r>
    </w:p>
    <w:p w:rsidR="00F81022" w:rsidRPr="00D64B73" w:rsidRDefault="00F81022" w:rsidP="00F81022">
      <w:pPr>
        <w:widowControl/>
        <w:numPr>
          <w:ilvl w:val="0"/>
          <w:numId w:val="1"/>
        </w:numPr>
        <w:spacing w:after="160" w:line="259" w:lineRule="auto"/>
        <w:contextualSpacing/>
        <w:rPr>
          <w:rFonts w:eastAsiaTheme="minorHAnsi"/>
          <w:sz w:val="22"/>
          <w:szCs w:val="22"/>
          <w:lang w:eastAsia="en-US"/>
        </w:rPr>
      </w:pPr>
      <w:r w:rsidRPr="00D64B73">
        <w:rPr>
          <w:rFonts w:eastAsiaTheme="minorHAnsi"/>
          <w:sz w:val="22"/>
          <w:szCs w:val="22"/>
          <w:lang w:eastAsia="en-US"/>
        </w:rPr>
        <w:t>Vaccination med levande, avdödade vaccin (BCG, MPR, VZV) ska ej ges inom 3 månader efter immunoglobulin (Rotavaccination undantaget).</w:t>
      </w:r>
    </w:p>
    <w:p w:rsidR="00F81022" w:rsidRPr="00D64B73" w:rsidRDefault="00F81022" w:rsidP="00F81022">
      <w:pPr>
        <w:widowControl/>
        <w:numPr>
          <w:ilvl w:val="0"/>
          <w:numId w:val="1"/>
        </w:numPr>
        <w:spacing w:after="160" w:line="259" w:lineRule="auto"/>
        <w:contextualSpacing/>
        <w:rPr>
          <w:rFonts w:eastAsiaTheme="minorHAnsi"/>
          <w:sz w:val="22"/>
          <w:szCs w:val="22"/>
          <w:lang w:eastAsia="en-US"/>
        </w:rPr>
      </w:pPr>
      <w:r w:rsidRPr="00D64B73">
        <w:rPr>
          <w:rFonts w:eastAsiaTheme="minorHAnsi"/>
          <w:sz w:val="22"/>
          <w:szCs w:val="22"/>
          <w:lang w:eastAsia="en-US"/>
        </w:rPr>
        <w:t xml:space="preserve">Om BCG-vaccination behöver ges/har getts stäm av med barnhälsovårdsöverläkare. </w:t>
      </w:r>
    </w:p>
    <w:p w:rsidR="00F81022" w:rsidRPr="00D64B73" w:rsidRDefault="00F81022" w:rsidP="00F81022">
      <w:pPr>
        <w:widowControl/>
        <w:spacing w:line="259" w:lineRule="auto"/>
        <w:rPr>
          <w:rFonts w:eastAsiaTheme="minorHAnsi"/>
          <w:sz w:val="22"/>
          <w:szCs w:val="22"/>
          <w:lang w:eastAsia="en-US"/>
        </w:rPr>
      </w:pPr>
    </w:p>
    <w:p w:rsidR="00F81022" w:rsidRPr="00D64B73" w:rsidRDefault="00F81022" w:rsidP="00F81022">
      <w:pPr>
        <w:widowControl/>
        <w:spacing w:line="259" w:lineRule="auto"/>
        <w:ind w:left="360"/>
        <w:rPr>
          <w:rFonts w:eastAsiaTheme="minorHAnsi"/>
          <w:sz w:val="22"/>
          <w:szCs w:val="22"/>
          <w:lang w:val="en-GB" w:eastAsia="en-US"/>
        </w:rPr>
      </w:pPr>
      <w:r w:rsidRPr="00D64B73">
        <w:rPr>
          <w:rFonts w:eastAsiaTheme="minorHAnsi"/>
          <w:b/>
          <w:bCs/>
          <w:sz w:val="22"/>
          <w:szCs w:val="22"/>
          <w:lang w:eastAsia="en-US"/>
        </w:rPr>
        <w:t>Efter PEP med vaccin</w:t>
      </w:r>
      <w:r w:rsidRPr="00D64B73">
        <w:rPr>
          <w:rFonts w:eastAsiaTheme="minorHAnsi"/>
          <w:sz w:val="22"/>
          <w:szCs w:val="22"/>
          <w:lang w:eastAsia="en-US"/>
        </w:rPr>
        <w:t xml:space="preserve">: </w:t>
      </w:r>
    </w:p>
    <w:p w:rsidR="00F81022" w:rsidRPr="00D64B73" w:rsidRDefault="00F81022" w:rsidP="00F81022">
      <w:pPr>
        <w:widowControl/>
        <w:numPr>
          <w:ilvl w:val="0"/>
          <w:numId w:val="2"/>
        </w:numPr>
        <w:spacing w:after="160" w:line="259" w:lineRule="auto"/>
        <w:contextualSpacing/>
        <w:rPr>
          <w:rFonts w:eastAsiaTheme="minorHAnsi"/>
          <w:sz w:val="22"/>
          <w:szCs w:val="22"/>
          <w:lang w:eastAsia="en-US"/>
        </w:rPr>
      </w:pPr>
      <w:r w:rsidRPr="00D64B73">
        <w:rPr>
          <w:rFonts w:eastAsiaTheme="minorHAnsi"/>
          <w:sz w:val="22"/>
          <w:szCs w:val="22"/>
          <w:lang w:eastAsia="en-US"/>
        </w:rPr>
        <w:t>Barn 6-11 mån som får PEP-vaccination ska ta ordinarie MPR-dos vid 18 mån.</w:t>
      </w:r>
    </w:p>
    <w:p w:rsidR="00F81022" w:rsidRPr="00D64B73" w:rsidRDefault="00F81022" w:rsidP="00F81022">
      <w:pPr>
        <w:widowControl/>
        <w:numPr>
          <w:ilvl w:val="0"/>
          <w:numId w:val="2"/>
        </w:numPr>
        <w:spacing w:after="160" w:line="259" w:lineRule="auto"/>
        <w:contextualSpacing/>
        <w:rPr>
          <w:rFonts w:eastAsiaTheme="minorHAnsi"/>
          <w:sz w:val="22"/>
          <w:szCs w:val="22"/>
          <w:lang w:eastAsia="en-US"/>
        </w:rPr>
      </w:pPr>
      <w:r w:rsidRPr="00D64B73">
        <w:rPr>
          <w:rFonts w:eastAsiaTheme="minorHAnsi"/>
          <w:sz w:val="22"/>
          <w:szCs w:val="22"/>
          <w:lang w:eastAsia="en-US"/>
        </w:rPr>
        <w:t>För barn över 12 mån som får PEP-vaccination så räknas detta som dos nr 1, fortsatt vaccination enligt ordinarie vaccinationsprogram.</w:t>
      </w:r>
    </w:p>
    <w:p w:rsidR="00F81022" w:rsidRPr="00D64B73" w:rsidRDefault="00F81022" w:rsidP="00F81022">
      <w:pPr>
        <w:widowControl/>
        <w:rPr>
          <w:i/>
        </w:rPr>
      </w:pPr>
    </w:p>
    <w:p w:rsidR="00F81022" w:rsidRPr="00F81022" w:rsidRDefault="00F81022" w:rsidP="00F81022">
      <w:pPr>
        <w:widowControl/>
        <w:rPr>
          <w:b/>
          <w:sz w:val="20"/>
          <w:szCs w:val="20"/>
        </w:rPr>
      </w:pPr>
      <w:r w:rsidRPr="00F81022">
        <w:rPr>
          <w:b/>
          <w:sz w:val="20"/>
          <w:szCs w:val="20"/>
        </w:rPr>
        <w:t>Versionshistorik</w:t>
      </w:r>
    </w:p>
    <w:p w:rsidR="00F81022" w:rsidRPr="00F81022" w:rsidRDefault="00F81022" w:rsidP="00F81022">
      <w:pPr>
        <w:rPr>
          <w:i/>
          <w:sz w:val="20"/>
          <w:szCs w:val="20"/>
        </w:rPr>
      </w:pPr>
      <w:r w:rsidRPr="00F81022">
        <w:rPr>
          <w:i/>
          <w:sz w:val="20"/>
          <w:szCs w:val="20"/>
        </w:rPr>
        <w:t>Varje dokument bör innehålla en historik som för varje version talar om vad som ändrats, vem som gjort ändringen och när ändringen gjordes. Observera att versionshistoriken ska fyllas i manuellt.</w:t>
      </w:r>
    </w:p>
    <w:p w:rsidR="00F81022" w:rsidRPr="00F81022" w:rsidRDefault="00F81022" w:rsidP="00F81022">
      <w:pPr>
        <w:widowControl/>
        <w:rPr>
          <w:sz w:val="20"/>
          <w:szCs w:val="20"/>
        </w:rPr>
      </w:pPr>
    </w:p>
    <w:tbl>
      <w:tblPr>
        <w:tblStyle w:val="Tabellrutnt"/>
        <w:tblW w:w="0" w:type="auto"/>
        <w:tblLook w:val="0020" w:firstRow="1" w:lastRow="0" w:firstColumn="0" w:lastColumn="0" w:noHBand="0" w:noVBand="0"/>
      </w:tblPr>
      <w:tblGrid>
        <w:gridCol w:w="1242"/>
        <w:gridCol w:w="1418"/>
        <w:gridCol w:w="3289"/>
        <w:gridCol w:w="3262"/>
      </w:tblGrid>
      <w:tr w:rsidR="00F81022" w:rsidRPr="0073674B" w:rsidTr="00C95731">
        <w:tc>
          <w:tcPr>
            <w:tcW w:w="1242" w:type="dxa"/>
            <w:shd w:val="clear" w:color="auto" w:fill="D9D9D9" w:themeFill="background1" w:themeFillShade="D9"/>
          </w:tcPr>
          <w:p w:rsidR="00F81022" w:rsidRPr="0073674B" w:rsidRDefault="00F81022" w:rsidP="00C95731">
            <w:pPr>
              <w:spacing w:before="120" w:after="120"/>
              <w:rPr>
                <w:b/>
                <w:bCs/>
              </w:rPr>
            </w:pPr>
            <w:r w:rsidRPr="0073674B">
              <w:rPr>
                <w:b/>
                <w:bCs/>
              </w:rPr>
              <w:t>Version</w:t>
            </w:r>
          </w:p>
        </w:tc>
        <w:tc>
          <w:tcPr>
            <w:tcW w:w="1418" w:type="dxa"/>
            <w:shd w:val="clear" w:color="auto" w:fill="D9D9D9" w:themeFill="background1" w:themeFillShade="D9"/>
          </w:tcPr>
          <w:p w:rsidR="00F81022" w:rsidRPr="0073674B" w:rsidRDefault="00F81022" w:rsidP="00C95731">
            <w:pPr>
              <w:spacing w:before="120" w:after="120"/>
              <w:rPr>
                <w:b/>
                <w:bCs/>
              </w:rPr>
            </w:pPr>
            <w:r w:rsidRPr="0073674B">
              <w:rPr>
                <w:b/>
                <w:bCs/>
              </w:rPr>
              <w:t>Datum</w:t>
            </w:r>
          </w:p>
        </w:tc>
        <w:tc>
          <w:tcPr>
            <w:tcW w:w="3289" w:type="dxa"/>
            <w:shd w:val="clear" w:color="auto" w:fill="D9D9D9" w:themeFill="background1" w:themeFillShade="D9"/>
          </w:tcPr>
          <w:p w:rsidR="00F81022" w:rsidRPr="0073674B" w:rsidRDefault="00F81022" w:rsidP="00C95731">
            <w:pPr>
              <w:spacing w:before="120" w:after="120"/>
              <w:rPr>
                <w:b/>
                <w:bCs/>
              </w:rPr>
            </w:pPr>
            <w:r w:rsidRPr="0073674B">
              <w:rPr>
                <w:b/>
                <w:bCs/>
              </w:rPr>
              <w:t>Förändring och kommentar</w:t>
            </w:r>
          </w:p>
        </w:tc>
        <w:tc>
          <w:tcPr>
            <w:tcW w:w="3262" w:type="dxa"/>
            <w:shd w:val="clear" w:color="auto" w:fill="D9D9D9" w:themeFill="background1" w:themeFillShade="D9"/>
          </w:tcPr>
          <w:p w:rsidR="00F81022" w:rsidRPr="0073674B" w:rsidRDefault="00F81022" w:rsidP="00C95731">
            <w:pPr>
              <w:spacing w:before="120" w:after="120"/>
              <w:rPr>
                <w:b/>
                <w:bCs/>
              </w:rPr>
            </w:pPr>
            <w:r w:rsidRPr="0073674B">
              <w:rPr>
                <w:b/>
                <w:bCs/>
              </w:rPr>
              <w:t>Ansvarig</w:t>
            </w:r>
          </w:p>
        </w:tc>
      </w:tr>
      <w:tr w:rsidR="00F81022" w:rsidRPr="0073674B" w:rsidTr="00C95731">
        <w:tc>
          <w:tcPr>
            <w:tcW w:w="1242" w:type="dxa"/>
          </w:tcPr>
          <w:p w:rsidR="00F81022" w:rsidRPr="0073674B" w:rsidRDefault="00F81022" w:rsidP="00C95731">
            <w:r>
              <w:t>1</w:t>
            </w:r>
          </w:p>
        </w:tc>
        <w:tc>
          <w:tcPr>
            <w:tcW w:w="1418" w:type="dxa"/>
          </w:tcPr>
          <w:p w:rsidR="00F81022" w:rsidRPr="0073674B" w:rsidRDefault="00F81022" w:rsidP="00C95731">
            <w:r>
              <w:t>20-09-30</w:t>
            </w:r>
          </w:p>
        </w:tc>
        <w:tc>
          <w:tcPr>
            <w:tcW w:w="3289" w:type="dxa"/>
          </w:tcPr>
          <w:p w:rsidR="00F81022" w:rsidRPr="0073674B" w:rsidRDefault="00F81022" w:rsidP="00C95731">
            <w:r>
              <w:t xml:space="preserve">Ny checklista </w:t>
            </w:r>
          </w:p>
        </w:tc>
        <w:tc>
          <w:tcPr>
            <w:tcW w:w="3262" w:type="dxa"/>
          </w:tcPr>
          <w:p w:rsidR="00F81022" w:rsidRPr="0073674B" w:rsidRDefault="00F81022" w:rsidP="00C95731">
            <w:r>
              <w:t>Åsa Fowler, Linda Kyrk Fabo</w:t>
            </w:r>
          </w:p>
        </w:tc>
      </w:tr>
    </w:tbl>
    <w:p w:rsidR="00F81022" w:rsidRDefault="00F81022" w:rsidP="00F81022"/>
    <w:p w:rsidR="005262F7" w:rsidRPr="006330C0" w:rsidRDefault="005262F7" w:rsidP="0073674B"/>
    <w:sectPr w:rsidR="005262F7" w:rsidRPr="006330C0" w:rsidSect="00FE15A1">
      <w:headerReference w:type="default" r:id="rId8"/>
      <w:footerReference w:type="default" r:id="rId9"/>
      <w:headerReference w:type="first" r:id="rId10"/>
      <w:footerReference w:type="first" r:id="rId11"/>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DBF" w:rsidRDefault="00996DBF" w:rsidP="00F47081">
      <w:r>
        <w:separator/>
      </w:r>
    </w:p>
  </w:endnote>
  <w:endnote w:type="continuationSeparator" w:id="0">
    <w:p w:rsidR="00996DBF" w:rsidRDefault="00996DBF"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0E3D6C"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Katharina Sundström/Karolinska/SLL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proofErr w:type="spellStart"/>
          <w:r w:rsidRPr="00BD7647">
            <w:rPr>
              <w:rFonts w:asciiTheme="minorHAnsi" w:hAnsiTheme="minorHAnsi"/>
              <w:sz w:val="16"/>
              <w:szCs w:val="16"/>
            </w:rPr>
            <w:t>Dokumentnr</w:t>
          </w:r>
          <w:proofErr w:type="spellEnd"/>
          <w:r w:rsidRPr="00BD7647">
            <w:rPr>
              <w:rFonts w:asciiTheme="minorHAnsi" w:hAnsiTheme="minorHAnsi"/>
              <w:sz w:val="16"/>
              <w:szCs w:val="16"/>
            </w:rPr>
            <w:t>:</w:t>
          </w:r>
          <w:r>
            <w:rPr>
              <w:rFonts w:asciiTheme="minorHAnsi" w:hAnsiTheme="minorHAnsi"/>
              <w:sz w:val="16"/>
              <w:szCs w:val="16"/>
            </w:rPr>
            <w:t xml:space="preserve"> </w:t>
          </w:r>
        </w:p>
      </w:tc>
      <w:tc>
        <w:tcPr>
          <w:tcW w:w="1669" w:type="dxa"/>
        </w:tcPr>
        <w:p w:rsidR="00792109" w:rsidRPr="00BD7647" w:rsidRDefault="000E3D6C"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Kar1-4752</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0E3D6C"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Mona-Lisa Engman/Karolinska/SLL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0E3D6C"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1</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0E3D6C" w:rsidP="005C7C25">
          <w:pPr>
            <w:tabs>
              <w:tab w:val="left" w:pos="5010"/>
              <w:tab w:val="left" w:pos="6663"/>
            </w:tabs>
            <w:rPr>
              <w:rFonts w:asciiTheme="minorHAnsi" w:hAnsiTheme="minorHAnsi"/>
              <w:sz w:val="16"/>
              <w:szCs w:val="16"/>
            </w:rPr>
          </w:pPr>
          <w:bookmarkStart w:id="9" w:name="organisation_sf"/>
          <w:r>
            <w:rPr>
              <w:rFonts w:asciiTheme="minorHAnsi" w:hAnsiTheme="minorHAnsi"/>
              <w:sz w:val="16"/>
              <w:szCs w:val="16"/>
            </w:rPr>
            <w:t>Akutsjukvård Barn</w:t>
          </w:r>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0E3D6C"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2020-09-30</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942C60"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0E3D6C">
            <w:rPr>
              <w:rFonts w:asciiTheme="minorHAnsi" w:hAnsiTheme="minorHAnsi"/>
              <w:noProof/>
              <w:sz w:val="16"/>
              <w:szCs w:val="16"/>
            </w:rPr>
            <w:t>2020-10-01</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0E3D6C">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0E3D6C"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Katharina Sundström/Karolinska/SLL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proofErr w:type="spellStart"/>
          <w:r w:rsidRPr="00BD7647">
            <w:rPr>
              <w:rFonts w:asciiTheme="minorHAnsi" w:hAnsiTheme="minorHAnsi"/>
              <w:sz w:val="16"/>
              <w:szCs w:val="16"/>
            </w:rPr>
            <w:t>Dokumentnr</w:t>
          </w:r>
          <w:proofErr w:type="spellEnd"/>
          <w:r w:rsidRPr="00BD7647">
            <w:rPr>
              <w:rFonts w:asciiTheme="minorHAnsi" w:hAnsiTheme="minorHAnsi"/>
              <w:sz w:val="16"/>
              <w:szCs w:val="16"/>
            </w:rPr>
            <w:t>:</w:t>
          </w:r>
          <w:r>
            <w:rPr>
              <w:rFonts w:asciiTheme="minorHAnsi" w:hAnsiTheme="minorHAnsi"/>
              <w:sz w:val="16"/>
              <w:szCs w:val="16"/>
            </w:rPr>
            <w:t xml:space="preserve"> </w:t>
          </w:r>
        </w:p>
      </w:tc>
      <w:tc>
        <w:tcPr>
          <w:tcW w:w="1669" w:type="dxa"/>
        </w:tcPr>
        <w:p w:rsidR="009A0B7E" w:rsidRPr="00BD7647" w:rsidRDefault="000E3D6C"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Kar1-4752</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0E3D6C"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Mona-Lisa Engman/Karolinska/SLL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0E3D6C"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1</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0E3D6C" w:rsidP="005C7C25">
          <w:pPr>
            <w:tabs>
              <w:tab w:val="left" w:pos="5010"/>
              <w:tab w:val="left" w:pos="6663"/>
            </w:tabs>
            <w:rPr>
              <w:rFonts w:asciiTheme="minorHAnsi" w:hAnsiTheme="minorHAnsi"/>
              <w:sz w:val="16"/>
              <w:szCs w:val="16"/>
            </w:rPr>
          </w:pPr>
          <w:bookmarkStart w:id="18" w:name="Organisation"/>
          <w:r>
            <w:rPr>
              <w:rFonts w:asciiTheme="minorHAnsi" w:hAnsiTheme="minorHAnsi"/>
              <w:sz w:val="16"/>
              <w:szCs w:val="16"/>
            </w:rPr>
            <w:t>Akutsjukvård Barn</w:t>
          </w:r>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0E3D6C"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2020-09-30</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942C60"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0E3D6C">
            <w:rPr>
              <w:rFonts w:asciiTheme="minorHAnsi" w:hAnsiTheme="minorHAnsi"/>
              <w:noProof/>
              <w:sz w:val="16"/>
              <w:szCs w:val="16"/>
            </w:rPr>
            <w:t>2020-10-01</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0E3D6C">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DBF" w:rsidRDefault="00996DBF" w:rsidP="00F47081">
      <w:r>
        <w:separator/>
      </w:r>
    </w:p>
  </w:footnote>
  <w:footnote w:type="continuationSeparator" w:id="0">
    <w:p w:rsidR="00996DBF" w:rsidRDefault="00996DBF"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0E3D6C" w:rsidP="0000601D">
          <w:pPr>
            <w:tabs>
              <w:tab w:val="left" w:pos="5010"/>
              <w:tab w:val="left" w:pos="6663"/>
            </w:tabs>
            <w:rPr>
              <w:rFonts w:asciiTheme="minorHAnsi" w:hAnsiTheme="minorHAnsi"/>
            </w:rPr>
          </w:pPr>
          <w:bookmarkStart w:id="2" w:name="Dokumenttyp_sf"/>
          <w:r>
            <w:rPr>
              <w:rFonts w:asciiTheme="minorHAnsi" w:hAnsiTheme="minorHAnsi"/>
            </w:rPr>
            <w:t>Stödjande dokument</w:t>
          </w:r>
          <w:bookmarkEnd w:id="2"/>
        </w:p>
      </w:tc>
      <w:tc>
        <w:tcPr>
          <w:tcW w:w="1346" w:type="dxa"/>
        </w:tcPr>
        <w:p w:rsidR="001C5ECA" w:rsidRPr="00123992" w:rsidRDefault="00942C60"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FE15A1">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F81022">
            <w:rPr>
              <w:rFonts w:asciiTheme="minorHAnsi" w:hAnsiTheme="minorHAnsi"/>
              <w:noProof/>
            </w:rPr>
            <w:fldChar w:fldCharType="begin"/>
          </w:r>
          <w:r w:rsidR="00F81022">
            <w:rPr>
              <w:rFonts w:asciiTheme="minorHAnsi" w:hAnsiTheme="minorHAnsi"/>
              <w:noProof/>
            </w:rPr>
            <w:instrText xml:space="preserve"> NUMPAGES  \* MERGEFORMAT </w:instrText>
          </w:r>
          <w:r w:rsidR="00F81022">
            <w:rPr>
              <w:rFonts w:asciiTheme="minorHAnsi" w:hAnsiTheme="minorHAnsi"/>
              <w:noProof/>
            </w:rPr>
            <w:fldChar w:fldCharType="separate"/>
          </w:r>
          <w:r w:rsidR="00FE15A1" w:rsidRPr="00FE15A1">
            <w:rPr>
              <w:rFonts w:asciiTheme="minorHAnsi" w:hAnsiTheme="minorHAnsi"/>
              <w:noProof/>
            </w:rPr>
            <w:t>2</w:t>
          </w:r>
          <w:r w:rsidR="00F81022">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0E3D6C" w:rsidP="00773423">
          <w:pPr>
            <w:tabs>
              <w:tab w:val="left" w:pos="5010"/>
              <w:tab w:val="left" w:pos="6663"/>
            </w:tabs>
            <w:rPr>
              <w:rFonts w:asciiTheme="minorHAnsi" w:hAnsiTheme="minorHAnsi"/>
            </w:rPr>
          </w:pPr>
          <w:bookmarkStart w:id="11" w:name="Dokumenttyp"/>
          <w:r>
            <w:rPr>
              <w:rFonts w:asciiTheme="minorHAnsi" w:hAnsiTheme="minorHAnsi"/>
            </w:rPr>
            <w:t>Stödjande dokument</w:t>
          </w:r>
          <w:bookmarkEnd w:id="11"/>
        </w:p>
      </w:tc>
      <w:tc>
        <w:tcPr>
          <w:tcW w:w="1346" w:type="dxa"/>
        </w:tcPr>
        <w:p w:rsidR="00363F7D" w:rsidRPr="00123992" w:rsidRDefault="00942C60"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FE15A1">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F81022">
            <w:rPr>
              <w:rFonts w:asciiTheme="minorHAnsi" w:hAnsiTheme="minorHAnsi"/>
              <w:noProof/>
            </w:rPr>
            <w:fldChar w:fldCharType="begin"/>
          </w:r>
          <w:r w:rsidR="00F81022">
            <w:rPr>
              <w:rFonts w:asciiTheme="minorHAnsi" w:hAnsiTheme="minorHAnsi"/>
              <w:noProof/>
            </w:rPr>
            <w:instrText xml:space="preserve"> NUMPAGES  \* MERGEFORMAT </w:instrText>
          </w:r>
          <w:r w:rsidR="00F81022">
            <w:rPr>
              <w:rFonts w:asciiTheme="minorHAnsi" w:hAnsiTheme="minorHAnsi"/>
              <w:noProof/>
            </w:rPr>
            <w:fldChar w:fldCharType="separate"/>
          </w:r>
          <w:r w:rsidR="00FE15A1" w:rsidRPr="00FE15A1">
            <w:rPr>
              <w:rFonts w:asciiTheme="minorHAnsi" w:hAnsiTheme="minorHAnsi"/>
              <w:noProof/>
            </w:rPr>
            <w:t>2</w:t>
          </w:r>
          <w:r w:rsidR="00F81022">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7549F"/>
    <w:multiLevelType w:val="hybridMultilevel"/>
    <w:tmpl w:val="0CFA0E50"/>
    <w:lvl w:ilvl="0" w:tplc="81D8B504">
      <w:start w:val="4"/>
      <w:numFmt w:val="bullet"/>
      <w:lvlText w:val="-"/>
      <w:lvlJc w:val="left"/>
      <w:pPr>
        <w:ind w:left="720" w:hanging="360"/>
      </w:pPr>
      <w:rPr>
        <w:rFonts w:ascii="Calibri" w:eastAsiaTheme="minorHAnsi" w:hAnsi="Calibri" w:cs="Calibri" w:hint="default"/>
      </w:rPr>
    </w:lvl>
    <w:lvl w:ilvl="1" w:tplc="81D8B504">
      <w:start w:val="4"/>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E2545F"/>
    <w:multiLevelType w:val="hybridMultilevel"/>
    <w:tmpl w:val="DDCC9658"/>
    <w:lvl w:ilvl="0" w:tplc="81D8B50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6189"/>
    <w:rsid w:val="00047E0F"/>
    <w:rsid w:val="00051851"/>
    <w:rsid w:val="00072F71"/>
    <w:rsid w:val="00080A88"/>
    <w:rsid w:val="00090B26"/>
    <w:rsid w:val="00097170"/>
    <w:rsid w:val="000A6A10"/>
    <w:rsid w:val="000B17EC"/>
    <w:rsid w:val="000B4D3D"/>
    <w:rsid w:val="000C04C7"/>
    <w:rsid w:val="000D4E47"/>
    <w:rsid w:val="000E3AC9"/>
    <w:rsid w:val="000E3D6C"/>
    <w:rsid w:val="000F3530"/>
    <w:rsid w:val="000F4D65"/>
    <w:rsid w:val="00100FDC"/>
    <w:rsid w:val="00101E13"/>
    <w:rsid w:val="001101F1"/>
    <w:rsid w:val="00123992"/>
    <w:rsid w:val="001439DF"/>
    <w:rsid w:val="001504AB"/>
    <w:rsid w:val="001516CD"/>
    <w:rsid w:val="00167279"/>
    <w:rsid w:val="00191D8A"/>
    <w:rsid w:val="0019376C"/>
    <w:rsid w:val="001A1351"/>
    <w:rsid w:val="001C1BBD"/>
    <w:rsid w:val="001C3913"/>
    <w:rsid w:val="001C5ECA"/>
    <w:rsid w:val="001C71C5"/>
    <w:rsid w:val="001D0E4E"/>
    <w:rsid w:val="001D7B01"/>
    <w:rsid w:val="001E2505"/>
    <w:rsid w:val="001E6A21"/>
    <w:rsid w:val="001F232D"/>
    <w:rsid w:val="001F2B1C"/>
    <w:rsid w:val="00233A25"/>
    <w:rsid w:val="00235B0D"/>
    <w:rsid w:val="002642CE"/>
    <w:rsid w:val="002769F1"/>
    <w:rsid w:val="002C1CF4"/>
    <w:rsid w:val="002C4C2A"/>
    <w:rsid w:val="002C4EDA"/>
    <w:rsid w:val="002C574A"/>
    <w:rsid w:val="002C57F8"/>
    <w:rsid w:val="002E665F"/>
    <w:rsid w:val="002F6D2D"/>
    <w:rsid w:val="00323C05"/>
    <w:rsid w:val="0033668A"/>
    <w:rsid w:val="003539AA"/>
    <w:rsid w:val="00356E00"/>
    <w:rsid w:val="00363F7D"/>
    <w:rsid w:val="00376CF2"/>
    <w:rsid w:val="003A5662"/>
    <w:rsid w:val="003B131D"/>
    <w:rsid w:val="003C230B"/>
    <w:rsid w:val="003C7DDC"/>
    <w:rsid w:val="003D3D1C"/>
    <w:rsid w:val="003F5240"/>
    <w:rsid w:val="003F7062"/>
    <w:rsid w:val="00402C2E"/>
    <w:rsid w:val="004042DC"/>
    <w:rsid w:val="004056C6"/>
    <w:rsid w:val="00405774"/>
    <w:rsid w:val="00405E69"/>
    <w:rsid w:val="00407F90"/>
    <w:rsid w:val="004111D2"/>
    <w:rsid w:val="00447EBD"/>
    <w:rsid w:val="00463852"/>
    <w:rsid w:val="00463CE9"/>
    <w:rsid w:val="004644A8"/>
    <w:rsid w:val="00473759"/>
    <w:rsid w:val="00474607"/>
    <w:rsid w:val="004C5F7B"/>
    <w:rsid w:val="004E0843"/>
    <w:rsid w:val="00502B3C"/>
    <w:rsid w:val="00505E91"/>
    <w:rsid w:val="00522CC6"/>
    <w:rsid w:val="00523EAD"/>
    <w:rsid w:val="005253BF"/>
    <w:rsid w:val="005262F7"/>
    <w:rsid w:val="00533490"/>
    <w:rsid w:val="00536E3C"/>
    <w:rsid w:val="00541570"/>
    <w:rsid w:val="00541FCA"/>
    <w:rsid w:val="00543742"/>
    <w:rsid w:val="005647A8"/>
    <w:rsid w:val="00576479"/>
    <w:rsid w:val="00594B6A"/>
    <w:rsid w:val="005A75E6"/>
    <w:rsid w:val="005B04BF"/>
    <w:rsid w:val="005C1E82"/>
    <w:rsid w:val="005C2A6A"/>
    <w:rsid w:val="005C50FF"/>
    <w:rsid w:val="005C7CF9"/>
    <w:rsid w:val="00602275"/>
    <w:rsid w:val="00605C27"/>
    <w:rsid w:val="006138C1"/>
    <w:rsid w:val="00624F6F"/>
    <w:rsid w:val="006330C0"/>
    <w:rsid w:val="00663476"/>
    <w:rsid w:val="0066413E"/>
    <w:rsid w:val="00664ED1"/>
    <w:rsid w:val="006658CE"/>
    <w:rsid w:val="00666B34"/>
    <w:rsid w:val="0067257A"/>
    <w:rsid w:val="00677161"/>
    <w:rsid w:val="0068125E"/>
    <w:rsid w:val="006A552A"/>
    <w:rsid w:val="006D2669"/>
    <w:rsid w:val="006D3EEA"/>
    <w:rsid w:val="006E318F"/>
    <w:rsid w:val="006E5CD4"/>
    <w:rsid w:val="00720662"/>
    <w:rsid w:val="00730505"/>
    <w:rsid w:val="007310E3"/>
    <w:rsid w:val="00732E14"/>
    <w:rsid w:val="0073674B"/>
    <w:rsid w:val="00756427"/>
    <w:rsid w:val="00762575"/>
    <w:rsid w:val="0076688B"/>
    <w:rsid w:val="00773423"/>
    <w:rsid w:val="007825F9"/>
    <w:rsid w:val="00784D4F"/>
    <w:rsid w:val="00792109"/>
    <w:rsid w:val="007A7CD8"/>
    <w:rsid w:val="007C46E0"/>
    <w:rsid w:val="007C481A"/>
    <w:rsid w:val="007D561A"/>
    <w:rsid w:val="00820E06"/>
    <w:rsid w:val="0083084E"/>
    <w:rsid w:val="0084434C"/>
    <w:rsid w:val="008765DF"/>
    <w:rsid w:val="00877AF7"/>
    <w:rsid w:val="00887EA3"/>
    <w:rsid w:val="00893D63"/>
    <w:rsid w:val="008956CE"/>
    <w:rsid w:val="008A147E"/>
    <w:rsid w:val="008A6A48"/>
    <w:rsid w:val="008B6CB0"/>
    <w:rsid w:val="008C2B03"/>
    <w:rsid w:val="008D143D"/>
    <w:rsid w:val="008D4840"/>
    <w:rsid w:val="008E03CB"/>
    <w:rsid w:val="008F25CC"/>
    <w:rsid w:val="008F5F42"/>
    <w:rsid w:val="008F6310"/>
    <w:rsid w:val="00916924"/>
    <w:rsid w:val="00926A38"/>
    <w:rsid w:val="00942C60"/>
    <w:rsid w:val="00946C7B"/>
    <w:rsid w:val="00947A73"/>
    <w:rsid w:val="00964350"/>
    <w:rsid w:val="0097166F"/>
    <w:rsid w:val="009954D8"/>
    <w:rsid w:val="00996DBF"/>
    <w:rsid w:val="009A0B7E"/>
    <w:rsid w:val="009C2F30"/>
    <w:rsid w:val="009D2946"/>
    <w:rsid w:val="009D51B5"/>
    <w:rsid w:val="009E34D9"/>
    <w:rsid w:val="009E6815"/>
    <w:rsid w:val="009F03FB"/>
    <w:rsid w:val="00A1365F"/>
    <w:rsid w:val="00A31276"/>
    <w:rsid w:val="00A50CC6"/>
    <w:rsid w:val="00A67932"/>
    <w:rsid w:val="00A73FE6"/>
    <w:rsid w:val="00A7734E"/>
    <w:rsid w:val="00A808AE"/>
    <w:rsid w:val="00A80F9E"/>
    <w:rsid w:val="00A83DA6"/>
    <w:rsid w:val="00AD7B2E"/>
    <w:rsid w:val="00AE2C8C"/>
    <w:rsid w:val="00AF69EE"/>
    <w:rsid w:val="00B00F3E"/>
    <w:rsid w:val="00B2112E"/>
    <w:rsid w:val="00B22B7D"/>
    <w:rsid w:val="00B237A2"/>
    <w:rsid w:val="00B24C48"/>
    <w:rsid w:val="00B32D34"/>
    <w:rsid w:val="00B46D94"/>
    <w:rsid w:val="00B5688E"/>
    <w:rsid w:val="00B7532A"/>
    <w:rsid w:val="00B81FC6"/>
    <w:rsid w:val="00B85E7F"/>
    <w:rsid w:val="00BA3DB1"/>
    <w:rsid w:val="00BB2D58"/>
    <w:rsid w:val="00BB74B1"/>
    <w:rsid w:val="00BC2905"/>
    <w:rsid w:val="00BD7647"/>
    <w:rsid w:val="00BF186B"/>
    <w:rsid w:val="00C11263"/>
    <w:rsid w:val="00C11EF7"/>
    <w:rsid w:val="00C215F0"/>
    <w:rsid w:val="00C27304"/>
    <w:rsid w:val="00C579D4"/>
    <w:rsid w:val="00C712F5"/>
    <w:rsid w:val="00C90CCA"/>
    <w:rsid w:val="00CA6F8A"/>
    <w:rsid w:val="00CB116E"/>
    <w:rsid w:val="00CB341B"/>
    <w:rsid w:val="00CC3836"/>
    <w:rsid w:val="00CC4FA1"/>
    <w:rsid w:val="00CC73B9"/>
    <w:rsid w:val="00CD53DF"/>
    <w:rsid w:val="00CF4644"/>
    <w:rsid w:val="00D204EB"/>
    <w:rsid w:val="00D21D17"/>
    <w:rsid w:val="00D24FFA"/>
    <w:rsid w:val="00D270A5"/>
    <w:rsid w:val="00D3561B"/>
    <w:rsid w:val="00D37D27"/>
    <w:rsid w:val="00D41DAA"/>
    <w:rsid w:val="00D50DA7"/>
    <w:rsid w:val="00D56B21"/>
    <w:rsid w:val="00D60013"/>
    <w:rsid w:val="00D67F3A"/>
    <w:rsid w:val="00D7790F"/>
    <w:rsid w:val="00DA4158"/>
    <w:rsid w:val="00DF3558"/>
    <w:rsid w:val="00DF3638"/>
    <w:rsid w:val="00E169EE"/>
    <w:rsid w:val="00E21228"/>
    <w:rsid w:val="00E63120"/>
    <w:rsid w:val="00E64F96"/>
    <w:rsid w:val="00E7592E"/>
    <w:rsid w:val="00E82565"/>
    <w:rsid w:val="00E94A0B"/>
    <w:rsid w:val="00EA6533"/>
    <w:rsid w:val="00EB626B"/>
    <w:rsid w:val="00EC191C"/>
    <w:rsid w:val="00EC6562"/>
    <w:rsid w:val="00EC6E22"/>
    <w:rsid w:val="00ED1C5C"/>
    <w:rsid w:val="00ED41EB"/>
    <w:rsid w:val="00EE5B69"/>
    <w:rsid w:val="00EE6DF8"/>
    <w:rsid w:val="00EF6425"/>
    <w:rsid w:val="00F0551D"/>
    <w:rsid w:val="00F055D4"/>
    <w:rsid w:val="00F11FD1"/>
    <w:rsid w:val="00F273B9"/>
    <w:rsid w:val="00F62AA2"/>
    <w:rsid w:val="00F81022"/>
    <w:rsid w:val="00F8194A"/>
    <w:rsid w:val="00F93951"/>
    <w:rsid w:val="00FB4BA2"/>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08BC2514-629C-4FA0-BDB5-051848C8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3D335966DC4621959803A100C1535A"/>
        <w:category>
          <w:name w:val="Allmänt"/>
          <w:gallery w:val="placeholder"/>
        </w:category>
        <w:types>
          <w:type w:val="bbPlcHdr"/>
        </w:types>
        <w:behaviors>
          <w:behavior w:val="content"/>
        </w:behaviors>
        <w:guid w:val="{9268D16C-5380-4449-BD90-78072E3DCE84}"/>
      </w:docPartPr>
      <w:docPartBody>
        <w:p w:rsidR="00852A3C" w:rsidRDefault="007503DB" w:rsidP="007503DB">
          <w:pPr>
            <w:pStyle w:val="8A3D335966DC4621959803A100C1535A"/>
          </w:pPr>
          <w:r w:rsidRPr="004A5FBA">
            <w:rPr>
              <w:rStyle w:val="Platshllartext"/>
            </w:rPr>
            <w:t>Klicka eller tryck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DB"/>
    <w:rsid w:val="007503DB"/>
    <w:rsid w:val="00852A3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7503DB"/>
    <w:rPr>
      <w:color w:val="808080"/>
    </w:rPr>
  </w:style>
  <w:style w:type="paragraph" w:customStyle="1" w:styleId="8A3D335966DC4621959803A100C1535A">
    <w:name w:val="8A3D335966DC4621959803A100C1535A"/>
    <w:rsid w:val="00750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7C577-9D32-45EF-A0FE-55961754C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6341D2FF.dotm</Template>
  <TotalTime>3</TotalTime>
  <Pages>2</Pages>
  <Words>560</Words>
  <Characters>2973</Characters>
  <Application>Microsoft Office Word</Application>
  <DocSecurity>0</DocSecurity>
  <Lines>24</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 </vt:lpstr>
    </vt:vector>
  </TitlesOfParts>
  <Company>Karolinska</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Mona-Lisa Engman</cp:lastModifiedBy>
  <cp:revision>5</cp:revision>
  <cp:lastPrinted>2005-03-23T12:04:00Z</cp:lastPrinted>
  <dcterms:created xsi:type="dcterms:W3CDTF">2020-09-30T08:50:00Z</dcterms:created>
  <dcterms:modified xsi:type="dcterms:W3CDTF">2020-10-01T10:51:00Z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459306</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