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bookmarkEnd w:id="0"/>
    <w:p w:rsidR="00141937" w:rsidRPr="00BA3DB1" w:rsidRDefault="00141937" w:rsidP="00141937">
      <w:pPr>
        <w:pStyle w:val="Rubrik1"/>
      </w:pPr>
      <w:r>
        <w:rPr>
          <w:lang w:val="en-US"/>
        </w:rPr>
        <w:fldChar w:fldCharType="begin">
          <w:ffData>
            <w:name w:val="Rubrik"/>
            <w:enabled/>
            <w:calcOnExit w:val="0"/>
            <w:textInput>
              <w:default w:val="Pylorusstenos - BARN"/>
            </w:textInput>
          </w:ffData>
        </w:fldChar>
      </w:r>
      <w:r w:rsidRPr="00BA3DB1">
        <w:instrText xml:space="preserve"> FORMTEXT </w:instrText>
      </w:r>
      <w:r w:rsidR="00116997">
        <w:rPr>
          <w:lang w:val="en-US"/>
        </w:rPr>
      </w:r>
      <w:r>
        <w:rPr>
          <w:lang w:val="en-US"/>
        </w:rPr>
        <w:fldChar w:fldCharType="separate"/>
      </w:r>
      <w:r w:rsidR="00116997">
        <w:rPr>
          <w:lang w:val="en-US"/>
        </w:rPr>
        <w:t>Pylorusstenos - BARN</w:t>
      </w:r>
      <w:r>
        <w:rPr>
          <w:lang w:val="en-US"/>
        </w:rPr>
        <w:fldChar w:fldCharType="end"/>
      </w:r>
      <w:r w:rsidRPr="00BA3DB1">
        <w:t xml:space="preserve"> </w:t>
      </w:r>
    </w:p>
    <w:p w:rsidR="00141937" w:rsidRPr="00BA3DB1" w:rsidRDefault="00141937" w:rsidP="00141937"/>
    <w:p w:rsidR="00141937" w:rsidRPr="00FD6F5D" w:rsidRDefault="00141937" w:rsidP="00141937">
      <w:pPr>
        <w:spacing w:before="120"/>
        <w:rPr>
          <w:b/>
          <w:sz w:val="28"/>
          <w:szCs w:val="28"/>
        </w:rPr>
      </w:pPr>
      <w:r w:rsidRPr="00FD6F5D">
        <w:rPr>
          <w:b/>
          <w:sz w:val="28"/>
          <w:szCs w:val="28"/>
        </w:rPr>
        <w:t>Inledning</w:t>
      </w:r>
    </w:p>
    <w:p w:rsidR="00141937" w:rsidRPr="00FD6F5D" w:rsidRDefault="00141937" w:rsidP="00141937">
      <w:pPr>
        <w:spacing w:before="120"/>
      </w:pPr>
      <w:r w:rsidRPr="003E75FA">
        <w:t xml:space="preserve">Idiopatisk hypertrof pylorusstenos (IHPS) innebär förtjockad pylorusmuskel som leder till en försämrad ventrikeltömning. Incidensen har sjunkit kraftigt på senare år och är nu i Stockholm mindre än 1/1000 </w:t>
      </w:r>
      <w:r w:rsidRPr="00FD6F5D">
        <w:t>barn</w:t>
      </w:r>
      <w:r w:rsidRPr="00FD6F5D">
        <w:rPr>
          <w:vertAlign w:val="superscript"/>
        </w:rPr>
        <w:t>1</w:t>
      </w:r>
      <w:r w:rsidRPr="00FD6F5D">
        <w:t>, 4/5 är pojkar. Risken är större hos förstfödda barn och det finns en tydlig ärftlighet</w:t>
      </w:r>
      <w:r w:rsidRPr="00FD6F5D">
        <w:rPr>
          <w:vertAlign w:val="superscript"/>
        </w:rPr>
        <w:t>2</w:t>
      </w:r>
      <w:r w:rsidRPr="00FD6F5D">
        <w:t xml:space="preserve"> som är större från modern än hos fadern. Risken att utveckla IHPS hos en son till en moder som haft sjukdomen är 20 %.</w:t>
      </w:r>
    </w:p>
    <w:p w:rsidR="00141937" w:rsidRDefault="00141937" w:rsidP="00141937">
      <w:pPr>
        <w:rPr>
          <w:b/>
        </w:rPr>
      </w:pPr>
    </w:p>
    <w:p w:rsidR="00141937" w:rsidRPr="00FD6F5D" w:rsidRDefault="00141937" w:rsidP="00141937">
      <w:pPr>
        <w:spacing w:before="120"/>
        <w:rPr>
          <w:b/>
          <w:sz w:val="28"/>
          <w:szCs w:val="28"/>
        </w:rPr>
      </w:pPr>
      <w:r w:rsidRPr="00FD6F5D">
        <w:rPr>
          <w:b/>
          <w:sz w:val="28"/>
          <w:szCs w:val="28"/>
        </w:rPr>
        <w:t>Klinik</w:t>
      </w:r>
    </w:p>
    <w:p w:rsidR="00141937" w:rsidRPr="00FD6F5D" w:rsidRDefault="00141937" w:rsidP="00141937">
      <w:pPr>
        <w:spacing w:before="120"/>
      </w:pPr>
      <w:r w:rsidRPr="003E75FA">
        <w:t>Debut sker vanligen mellan tre och åtta veckors ålder, median 38–40 dagar hos fullgångna barn</w:t>
      </w:r>
      <w:r w:rsidRPr="00FD6F5D">
        <w:rPr>
          <w:vertAlign w:val="superscript"/>
        </w:rPr>
        <w:t>2</w:t>
      </w:r>
      <w:r w:rsidRPr="00FD6F5D">
        <w:t xml:space="preserve">. Debuten kommer senare hos för tidigt födda barn och korrelerar bättre till tid efter konception än till tid efter födelsen. Debut efter 12 veckors ålder är mycket ovanlig. </w:t>
      </w:r>
    </w:p>
    <w:p w:rsidR="00141937" w:rsidRPr="00FD6F5D" w:rsidRDefault="00141937" w:rsidP="00141937">
      <w:pPr>
        <w:spacing w:before="120"/>
      </w:pPr>
      <w:r w:rsidRPr="00FD6F5D">
        <w:t>Kardinalsymptomet är kräkning, inledningsvis vanliga matkräkningar som utvecklas till sprutande s.k. kaskadkräkningar. Kräkningen är inte galltillblandad men blodtillblandning förekommer, vanligen p.g.a. esofagit. Med tiden tillkommer tecken till dehydrering och viktnedgång.</w:t>
      </w:r>
    </w:p>
    <w:p w:rsidR="00141937" w:rsidRPr="00FD6F5D" w:rsidRDefault="00141937" w:rsidP="00141937">
      <w:pPr>
        <w:spacing w:before="120"/>
        <w:rPr>
          <w:b/>
        </w:rPr>
      </w:pPr>
    </w:p>
    <w:p w:rsidR="00141937" w:rsidRPr="00FD6F5D" w:rsidRDefault="00141937" w:rsidP="00141937">
      <w:pPr>
        <w:spacing w:before="120"/>
        <w:rPr>
          <w:b/>
          <w:sz w:val="28"/>
          <w:szCs w:val="28"/>
        </w:rPr>
      </w:pPr>
      <w:r w:rsidRPr="00FD6F5D">
        <w:rPr>
          <w:b/>
          <w:sz w:val="28"/>
          <w:szCs w:val="28"/>
        </w:rPr>
        <w:t>Utredning</w:t>
      </w:r>
    </w:p>
    <w:p w:rsidR="00141937" w:rsidRPr="003E75FA" w:rsidRDefault="00141937" w:rsidP="00141937">
      <w:pPr>
        <w:spacing w:before="120"/>
      </w:pPr>
      <w:r w:rsidRPr="003E75FA">
        <w:t>Anamnes</w:t>
      </w:r>
      <w:r>
        <w:t>, inklusive hereditet,</w:t>
      </w:r>
      <w:r w:rsidRPr="003E75FA">
        <w:t xml:space="preserve"> och fullständigt status. I vissa fall kan man efter matning se ventrikelperistaltik högt i buken och någon gång kan en resistens palperas i höger hypokondrium.</w:t>
      </w:r>
    </w:p>
    <w:p w:rsidR="00141937" w:rsidRPr="00FD6F5D" w:rsidRDefault="00141937" w:rsidP="00141937">
      <w:pPr>
        <w:spacing w:before="120"/>
      </w:pPr>
      <w:r w:rsidRPr="00FD6F5D">
        <w:t>Ultraljud är förstahandsmetod för att fastställa diagnosen</w:t>
      </w:r>
      <w:r w:rsidRPr="00FD6F5D">
        <w:rPr>
          <w:vertAlign w:val="superscript"/>
        </w:rPr>
        <w:t>3</w:t>
      </w:r>
      <w:r w:rsidRPr="00FD6F5D">
        <w:t>. Vid behov kan övre passageröntgen genomföras, främst för differentialdiagnosti</w:t>
      </w:r>
      <w:r>
        <w:t>sk. De vanligaste differential</w:t>
      </w:r>
      <w:r w:rsidRPr="00FD6F5D">
        <w:t>diagnoserna är infektionsutlöst kräkning, ulcus, reflux, duodenal stenos och malrotation.</w:t>
      </w:r>
    </w:p>
    <w:p w:rsidR="00141937" w:rsidRDefault="00141937" w:rsidP="00141937">
      <w:pPr>
        <w:spacing w:before="120"/>
      </w:pPr>
      <w:r w:rsidRPr="00FD6F5D">
        <w:t>Blodgas tas och barnet uppvisar vanligen en hypokloremisk, hypokalemisk metabol alkalos av någon grad.</w:t>
      </w:r>
    </w:p>
    <w:p w:rsidR="00141937" w:rsidRDefault="00141937" w:rsidP="00141937">
      <w:pPr>
        <w:spacing w:before="120"/>
        <w:rPr>
          <w:b/>
          <w:sz w:val="28"/>
          <w:szCs w:val="28"/>
        </w:rPr>
      </w:pPr>
    </w:p>
    <w:p w:rsidR="00141937" w:rsidRPr="00FD6F5D" w:rsidRDefault="00141937" w:rsidP="00141937">
      <w:pPr>
        <w:spacing w:before="120"/>
        <w:rPr>
          <w:b/>
          <w:sz w:val="28"/>
          <w:szCs w:val="28"/>
        </w:rPr>
      </w:pPr>
      <w:r w:rsidRPr="00FD6F5D">
        <w:rPr>
          <w:b/>
          <w:sz w:val="28"/>
          <w:szCs w:val="28"/>
        </w:rPr>
        <w:t>Behandling</w:t>
      </w:r>
    </w:p>
    <w:p w:rsidR="00141937" w:rsidRPr="00FD6F5D" w:rsidRDefault="00141937" w:rsidP="00141937">
      <w:pPr>
        <w:spacing w:before="120"/>
      </w:pPr>
      <w:r w:rsidRPr="00FD6F5D">
        <w:rPr>
          <w:b/>
        </w:rPr>
        <w:t>Pre-op</w:t>
      </w:r>
      <w:r w:rsidRPr="003E75FA">
        <w:t xml:space="preserve"> </w:t>
      </w:r>
    </w:p>
    <w:p w:rsidR="00141937" w:rsidRPr="003E75FA" w:rsidRDefault="00141937" w:rsidP="00141937">
      <w:pPr>
        <w:spacing w:before="120"/>
      </w:pPr>
      <w:r w:rsidRPr="003E75FA">
        <w:t>Den preoperativa stabiliseringen är primär. Först när vätske- och elektrolytrubbningarna är korrigerade är det aktuellt med kirurgi.</w:t>
      </w:r>
    </w:p>
    <w:p w:rsidR="00141937" w:rsidRDefault="00141937" w:rsidP="00141937">
      <w:pPr>
        <w:spacing w:before="120"/>
      </w:pPr>
    </w:p>
    <w:p w:rsidR="00141937" w:rsidRDefault="00141937" w:rsidP="00141937">
      <w:pPr>
        <w:spacing w:before="120"/>
      </w:pPr>
      <w:bookmarkStart w:id="1" w:name="_GoBack"/>
      <w:bookmarkEnd w:id="1"/>
    </w:p>
    <w:p w:rsidR="00141937" w:rsidRDefault="00141937" w:rsidP="00141937">
      <w:pPr>
        <w:spacing w:before="120"/>
      </w:pPr>
    </w:p>
    <w:p w:rsidR="00141937" w:rsidRPr="00FD6F5D" w:rsidRDefault="00141937" w:rsidP="00141937">
      <w:pPr>
        <w:spacing w:before="120"/>
      </w:pPr>
      <w:r w:rsidRPr="003E75FA">
        <w:t>Inläggs fastande på vårdavdelning och förses med en ventrikelsond, Ch 8. Vätskebalans skall följas, notera befintlig urinproduktion. Blodgas (Hb, Na, K, Cl, BE, pH, krea) vid inkomst och</w:t>
      </w:r>
      <w:r w:rsidRPr="006408A3">
        <w:t xml:space="preserve"> </w:t>
      </w:r>
      <w:r w:rsidRPr="003E75FA">
        <w:t>efter 4–8 timmar. Om det ej föreligger någon syra/bas/elektrolytrubbning och barnet ej är kliniskt dehydre</w:t>
      </w:r>
      <w:r w:rsidRPr="00FD6F5D">
        <w:t>rat ges underhållsbehandling Gluko</w:t>
      </w:r>
      <w:r>
        <w:t>s 10 % med 40 mmol Na, 40 mmol K</w:t>
      </w:r>
      <w:r w:rsidRPr="00FD6F5D">
        <w:t>/</w:t>
      </w:r>
      <w:r>
        <w:t>1000 ml; 170 ml/kg/24 timmar.</w:t>
      </w:r>
    </w:p>
    <w:p w:rsidR="00141937" w:rsidRPr="003E75FA" w:rsidRDefault="00141937" w:rsidP="00141937">
      <w:pPr>
        <w:spacing w:before="120"/>
      </w:pPr>
      <w:r w:rsidRPr="00FD6F5D">
        <w:t>Om syra/bas/elektrolytstatus är signifikant påverkat (elektrolytrubbning och/eller BE &gt;3) och/eller barnet är kliniskt dehydrerat ges en initial uppvätskning med Natriumklorid 9 mg/ml, 5 % av kroppsvikten på fyra timmar parallellt med underhållsbehandling Gluko</w:t>
      </w:r>
      <w:r>
        <w:t>s 10 % med 40 mmol Na, 40 mmol K</w:t>
      </w:r>
      <w:r w:rsidRPr="00FD6F5D">
        <w:t>/</w:t>
      </w:r>
      <w:r>
        <w:t>1000 ml; 150 ml/kg/24 timmar</w:t>
      </w:r>
      <w:r w:rsidRPr="00FD6F5D">
        <w:t>. Därefter ny blodgas. Fortsatt rehydrering styrs av klinisk bild och syra/bas/elektrolytstatus enligt ny blodgas. När status är normaliserat ges underhållsbehandling enligt ovan</w:t>
      </w:r>
      <w:r w:rsidRPr="003E75FA">
        <w:t>.</w:t>
      </w:r>
    </w:p>
    <w:p w:rsidR="00141937" w:rsidRPr="00FD6F5D" w:rsidRDefault="00141937" w:rsidP="00141937">
      <w:pPr>
        <w:spacing w:before="120"/>
      </w:pPr>
      <w:r w:rsidRPr="00FD6F5D">
        <w:t>Om barnet är gravt dehydrerat med upphävd urinproduktion och/eller har en grav elektrolytrubbning skall initialt omhändertagande ske i samråd med narkosläkare.</w:t>
      </w:r>
    </w:p>
    <w:p w:rsidR="00141937" w:rsidRPr="00FD6F5D" w:rsidRDefault="00141937" w:rsidP="00141937">
      <w:pPr>
        <w:spacing w:before="120"/>
      </w:pPr>
      <w:r w:rsidRPr="00FD6F5D">
        <w:t>Förluster via ventrikelsond eller kräkning skall kompenseras med Natriumklorid enligt 1 % -regeln vilket innebär att alla förluster, per dygn, överstigande 1 % av kroppsvikten skall ersättas med motsvarande volym Natriumklorid.</w:t>
      </w:r>
    </w:p>
    <w:p w:rsidR="00141937" w:rsidRPr="00EE6E2B" w:rsidRDefault="00141937" w:rsidP="00141937">
      <w:pPr>
        <w:spacing w:before="120"/>
        <w:rPr>
          <w:b/>
        </w:rPr>
      </w:pPr>
      <w:r w:rsidRPr="00EE6E2B">
        <w:rPr>
          <w:b/>
        </w:rPr>
        <w:t>Operation</w:t>
      </w:r>
    </w:p>
    <w:p w:rsidR="00141937" w:rsidRPr="00FD6F5D" w:rsidRDefault="00141937" w:rsidP="00141937">
      <w:pPr>
        <w:spacing w:before="120"/>
      </w:pPr>
      <w:r w:rsidRPr="003E75FA">
        <w:rPr>
          <w:b/>
        </w:rPr>
        <w:t>Laparoskopisk pyloromyotomi</w:t>
      </w:r>
      <w:r w:rsidRPr="003E75FA">
        <w:t xml:space="preserve"> h</w:t>
      </w:r>
      <w:r w:rsidRPr="00FD6F5D">
        <w:t>ar i randomiserade studier</w:t>
      </w:r>
      <w:r w:rsidRPr="00FD6F5D">
        <w:rPr>
          <w:vertAlign w:val="superscript"/>
        </w:rPr>
        <w:t>7,10</w:t>
      </w:r>
      <w:r w:rsidRPr="00FD6F5D">
        <w:t xml:space="preserve"> och i metaanalyser</w:t>
      </w:r>
      <w:r w:rsidRPr="00FD6F5D">
        <w:rPr>
          <w:vertAlign w:val="superscript"/>
        </w:rPr>
        <w:t>11</w:t>
      </w:r>
      <w:r w:rsidRPr="00FD6F5D">
        <w:t xml:space="preserve"> uppvisat kortare tid till full matning och kortare vårdtid liksom minskad frekvens av sårinfektioner jämfört öppen teknik och är numera förstahandsmetod hos oss.</w:t>
      </w:r>
    </w:p>
    <w:p w:rsidR="00141937" w:rsidRPr="00FD6F5D" w:rsidRDefault="00141937" w:rsidP="00141937">
      <w:pPr>
        <w:spacing w:before="120"/>
      </w:pPr>
      <w:r w:rsidRPr="00FD6F5D">
        <w:t>Vid laparoskopisk pyloromyotomi sker klyvningen i praktiken på samma sätt som vid öpp</w:t>
      </w:r>
      <w:r>
        <w:t xml:space="preserve">en op men inne i bukhålan med </w:t>
      </w:r>
      <w:r w:rsidRPr="00FD6F5D">
        <w:t>3mm laparoskopiska instrument.</w:t>
      </w:r>
    </w:p>
    <w:p w:rsidR="00141937" w:rsidRPr="00FD6F5D" w:rsidRDefault="00141937" w:rsidP="00141937">
      <w:pPr>
        <w:spacing w:before="120"/>
      </w:pPr>
      <w:r w:rsidRPr="00FD6F5D">
        <w:rPr>
          <w:b/>
        </w:rPr>
        <w:t>Öppen pyloromyotomi</w:t>
      </w:r>
      <w:r w:rsidRPr="00FD6F5D">
        <w:t xml:space="preserve"> sker via en semicirkulär supraumbilical incision enligt Tan-Bianchi</w:t>
      </w:r>
      <w:r w:rsidRPr="00FD6F5D">
        <w:rPr>
          <w:vertAlign w:val="superscript"/>
        </w:rPr>
        <w:t>4</w:t>
      </w:r>
      <w:r w:rsidRPr="00FD6F5D">
        <w:t xml:space="preserve"> eller med en transversell incision i övre högra kvadranten. Navelincisionen är kosmetiskt fördelaktig men medför en antytt ökad risk för postoperativ sårinfektion och är kontraindicerad vid fuktande navel eller kvarsittande navelstump. Vid navelincision bör antibiotikaprofylax därför övervägas</w:t>
      </w:r>
      <w:r w:rsidRPr="00FD6F5D">
        <w:rPr>
          <w:vertAlign w:val="superscript"/>
        </w:rPr>
        <w:t>12</w:t>
      </w:r>
      <w:r w:rsidRPr="00FD6F5D">
        <w:t>. Öppen operation innebär en longitudinell klyvning av pylorusmuskeln enligt Ramstedt.</w:t>
      </w:r>
      <w:r w:rsidRPr="00FD6F5D">
        <w:rPr>
          <w:vertAlign w:val="superscript"/>
        </w:rPr>
        <w:t>5, 6</w:t>
      </w:r>
    </w:p>
    <w:p w:rsidR="00141937" w:rsidRPr="00FD6F5D" w:rsidRDefault="00141937" w:rsidP="00141937">
      <w:pPr>
        <w:spacing w:before="120"/>
      </w:pPr>
      <w:r w:rsidRPr="00FD6F5D">
        <w:t xml:space="preserve">Det finns beskrivet en </w:t>
      </w:r>
      <w:r w:rsidRPr="00FD6F5D">
        <w:rPr>
          <w:b/>
        </w:rPr>
        <w:t>medicinsk behandling</w:t>
      </w:r>
      <w:r w:rsidRPr="00FD6F5D">
        <w:t xml:space="preserve"> med Atropin intravenöst och per oralt</w:t>
      </w:r>
      <w:r w:rsidRPr="00FD6F5D">
        <w:rPr>
          <w:vertAlign w:val="superscript"/>
        </w:rPr>
        <w:t>9</w:t>
      </w:r>
      <w:r w:rsidRPr="00FD6F5D">
        <w:t>. Behandlingen kan bli aktuell om det föreligger starka kontraindikationer till kirurgi eller tekniska svårigheter, t.ex. hög kolostomi.</w:t>
      </w:r>
    </w:p>
    <w:p w:rsidR="00141937" w:rsidRPr="00EE6E2B" w:rsidRDefault="00141937" w:rsidP="00141937">
      <w:pPr>
        <w:spacing w:before="120"/>
        <w:rPr>
          <w:b/>
        </w:rPr>
      </w:pPr>
      <w:r w:rsidRPr="00EE6E2B">
        <w:rPr>
          <w:b/>
        </w:rPr>
        <w:t>Post-op</w:t>
      </w:r>
    </w:p>
    <w:p w:rsidR="00141937" w:rsidRPr="00FD6F5D" w:rsidRDefault="00141937" w:rsidP="00141937">
      <w:pPr>
        <w:spacing w:before="120"/>
      </w:pPr>
      <w:r w:rsidRPr="003E75FA">
        <w:t xml:space="preserve">Fri mobilisering. Om barnet är stabilt </w:t>
      </w:r>
      <w:r>
        <w:t>tas</w:t>
      </w:r>
      <w:r w:rsidRPr="003E75FA">
        <w:t xml:space="preserve"> sonden </w:t>
      </w:r>
      <w:r>
        <w:t xml:space="preserve">bort </w:t>
      </w:r>
      <w:r w:rsidRPr="003E75FA">
        <w:t xml:space="preserve">fyra timmar postop och vid hungertecken påbörjas matning med 30 ml/mål, sedan fri matmängd. Enstaka kräkningar är vanligt postoperativt och avtar i </w:t>
      </w:r>
      <w:r w:rsidRPr="00FD6F5D">
        <w:t xml:space="preserve">intensitet och frekvens de första postoperativa dygnen. Barnet skrivs i normalfallet hem 24–48 timmar postoperativt när det försörjer sig per os och är kliniskt opåverkat. </w:t>
      </w:r>
    </w:p>
    <w:p w:rsidR="00141937" w:rsidRPr="00FD6F5D" w:rsidRDefault="00141937" w:rsidP="00141937">
      <w:pPr>
        <w:spacing w:before="120"/>
        <w:rPr>
          <w:b/>
        </w:rPr>
      </w:pPr>
    </w:p>
    <w:p w:rsidR="00141937" w:rsidRDefault="00141937" w:rsidP="00141937">
      <w:pPr>
        <w:spacing w:before="120"/>
        <w:rPr>
          <w:b/>
          <w:sz w:val="28"/>
          <w:szCs w:val="28"/>
        </w:rPr>
      </w:pPr>
    </w:p>
    <w:p w:rsidR="00141937" w:rsidRPr="00FD6F5D" w:rsidRDefault="00141937" w:rsidP="00141937">
      <w:pPr>
        <w:spacing w:before="120"/>
        <w:rPr>
          <w:b/>
          <w:sz w:val="28"/>
          <w:szCs w:val="28"/>
        </w:rPr>
      </w:pPr>
      <w:r w:rsidRPr="00FD6F5D">
        <w:rPr>
          <w:b/>
          <w:sz w:val="28"/>
          <w:szCs w:val="28"/>
        </w:rPr>
        <w:t>Uppföljning</w:t>
      </w:r>
    </w:p>
    <w:p w:rsidR="00141937" w:rsidRDefault="00141937" w:rsidP="00141937">
      <w:pPr>
        <w:spacing w:before="120"/>
      </w:pPr>
      <w:r>
        <w:t xml:space="preserve">Rutinkontroller sker på BVC. I normalfallet sker ingen uppföljning på barnkirurgmottagningen. Ev. kan </w:t>
      </w:r>
      <w:r w:rsidRPr="00FD6F5D">
        <w:t xml:space="preserve">en postop kontroll på mottagningen </w:t>
      </w:r>
      <w:r>
        <w:t xml:space="preserve">ske </w:t>
      </w:r>
      <w:r w:rsidRPr="00FD6F5D">
        <w:t>i selekterade fall, ex. i utbildningssyfte.</w:t>
      </w:r>
    </w:p>
    <w:p w:rsidR="00141937" w:rsidRDefault="00141937" w:rsidP="00141937">
      <w:pPr>
        <w:spacing w:before="120"/>
      </w:pPr>
    </w:p>
    <w:p w:rsidR="00141937" w:rsidRDefault="00141937" w:rsidP="00141937">
      <w:pPr>
        <w:spacing w:before="120"/>
        <w:rPr>
          <w:b/>
          <w:sz w:val="28"/>
          <w:szCs w:val="28"/>
          <w:lang w:val="en-GB"/>
        </w:rPr>
      </w:pPr>
      <w:r w:rsidRPr="00FD6F5D">
        <w:rPr>
          <w:b/>
          <w:sz w:val="28"/>
          <w:szCs w:val="28"/>
          <w:lang w:val="en-GB"/>
        </w:rPr>
        <w:t>Referenser:</w:t>
      </w:r>
    </w:p>
    <w:p w:rsidR="00141937" w:rsidRPr="00FD6F5D" w:rsidRDefault="00141937" w:rsidP="00141937">
      <w:pPr>
        <w:spacing w:before="120"/>
        <w:ind w:left="426" w:hanging="426"/>
        <w:rPr>
          <w:lang w:val="en-GB"/>
        </w:rPr>
      </w:pPr>
      <w:r w:rsidRPr="003E75FA">
        <w:rPr>
          <w:lang w:val="en-GB"/>
        </w:rPr>
        <w:t>1.</w:t>
      </w:r>
      <w:r w:rsidRPr="003E75FA">
        <w:rPr>
          <w:lang w:val="en-GB"/>
        </w:rPr>
        <w:tab/>
      </w:r>
      <w:r w:rsidRPr="00FD6F5D">
        <w:rPr>
          <w:lang w:val="en-GB"/>
        </w:rPr>
        <w:t>Persson S, Ekbom A, Granath F, Nordenskjöld A, Parallel Incidences of Sudden Infant Death Syndrome and Infantile Hypertrophic Pyloric Stenosis: A Common Cause? Pediatrics 2001;108;e70</w:t>
      </w:r>
    </w:p>
    <w:p w:rsidR="00141937" w:rsidRPr="00FD6F5D" w:rsidRDefault="00141937" w:rsidP="00141937">
      <w:pPr>
        <w:spacing w:before="120"/>
        <w:ind w:left="426" w:hanging="426"/>
        <w:rPr>
          <w:lang w:val="en-GB"/>
        </w:rPr>
      </w:pPr>
      <w:r w:rsidRPr="00FD6F5D">
        <w:rPr>
          <w:lang w:val="en-GB"/>
        </w:rPr>
        <w:t>2.</w:t>
      </w:r>
      <w:r w:rsidRPr="00FD6F5D">
        <w:rPr>
          <w:lang w:val="en-GB"/>
        </w:rPr>
        <w:tab/>
        <w:t>MacMahon B, The Continuing Enigma of Pyloric Stenosis of Infancy A Review Epidemiology 2006;17:195-201</w:t>
      </w:r>
    </w:p>
    <w:p w:rsidR="00141937" w:rsidRPr="00FD6F5D" w:rsidRDefault="00141937" w:rsidP="00141937">
      <w:pPr>
        <w:spacing w:before="120"/>
        <w:ind w:left="426" w:hanging="426"/>
        <w:rPr>
          <w:lang w:val="en-GB"/>
        </w:rPr>
      </w:pPr>
      <w:r w:rsidRPr="00FD6F5D">
        <w:rPr>
          <w:lang w:val="en-GB"/>
        </w:rPr>
        <w:t>3.</w:t>
      </w:r>
      <w:r w:rsidRPr="00FD6F5D">
        <w:rPr>
          <w:lang w:val="en-GB"/>
        </w:rPr>
        <w:tab/>
        <w:t>Doyle D, O´Neill M, Kelly D, Changing trend in the management of infantile hypertrophic pylorus stenosis-an audit over 11 years Ir J Med Sci 2005 Apr-Jun;174(2):33-5</w:t>
      </w:r>
    </w:p>
    <w:p w:rsidR="00141937" w:rsidRPr="00FD6F5D" w:rsidRDefault="00141937" w:rsidP="00141937">
      <w:pPr>
        <w:spacing w:before="120"/>
        <w:ind w:left="426" w:hanging="426"/>
        <w:rPr>
          <w:lang w:val="en-GB"/>
        </w:rPr>
      </w:pPr>
      <w:r w:rsidRPr="00FD6F5D">
        <w:rPr>
          <w:lang w:val="en-GB"/>
        </w:rPr>
        <w:t>4.</w:t>
      </w:r>
      <w:r w:rsidRPr="00FD6F5D">
        <w:rPr>
          <w:lang w:val="en-GB"/>
        </w:rPr>
        <w:tab/>
        <w:t>Tan KC, Bianchi A. Circumbilical incision for pyloromyotomy Br J Surg 1986; 73:399</w:t>
      </w:r>
    </w:p>
    <w:p w:rsidR="00141937" w:rsidRPr="00EE6E2B" w:rsidRDefault="00141937" w:rsidP="00141937">
      <w:pPr>
        <w:spacing w:before="120"/>
        <w:ind w:left="426" w:hanging="426"/>
      </w:pPr>
      <w:r w:rsidRPr="00EE6E2B">
        <w:t>5.</w:t>
      </w:r>
      <w:r w:rsidRPr="00EE6E2B">
        <w:tab/>
      </w:r>
      <w:r w:rsidRPr="003E75FA">
        <w:t xml:space="preserve">Ramstedt C. Zur operation der angeborenen pylorus-stenose. </w:t>
      </w:r>
      <w:r w:rsidRPr="00EE6E2B">
        <w:t>Med Klinik. 1912;8:1702-5</w:t>
      </w:r>
    </w:p>
    <w:p w:rsidR="00141937" w:rsidRPr="003E75FA" w:rsidRDefault="00141937" w:rsidP="00141937">
      <w:pPr>
        <w:spacing w:before="120"/>
        <w:ind w:left="426" w:hanging="426"/>
        <w:rPr>
          <w:lang w:val="en-GB"/>
        </w:rPr>
      </w:pPr>
      <w:r w:rsidRPr="00EE6E2B">
        <w:t>6.</w:t>
      </w:r>
      <w:r w:rsidRPr="00EE6E2B">
        <w:tab/>
        <w:t xml:space="preserve">Benson CD, Lloyd JR. </w:t>
      </w:r>
      <w:r w:rsidRPr="003E75FA">
        <w:rPr>
          <w:lang w:val="en-GB"/>
        </w:rPr>
        <w:t>Infantile pyloric Stenosis: a review of 1120 cases. Am J surg 1964;107:429-33</w:t>
      </w:r>
    </w:p>
    <w:p w:rsidR="00141937" w:rsidRPr="00FD6F5D" w:rsidRDefault="00141937" w:rsidP="00141937">
      <w:pPr>
        <w:spacing w:before="120"/>
        <w:ind w:left="426" w:hanging="426"/>
        <w:rPr>
          <w:lang w:val="en-GB"/>
        </w:rPr>
      </w:pPr>
      <w:r w:rsidRPr="00FD6F5D">
        <w:rPr>
          <w:lang w:val="en-GB"/>
        </w:rPr>
        <w:t>7.</w:t>
      </w:r>
      <w:r w:rsidRPr="00FD6F5D">
        <w:rPr>
          <w:lang w:val="en-GB"/>
        </w:rPr>
        <w:tab/>
        <w:t>Shawn D et al Open versus laparoscopic pyloromyotomy for pyloric Stenosis A prospective, randomized trial Ann Surg 2006;244:363-70</w:t>
      </w:r>
    </w:p>
    <w:p w:rsidR="00141937" w:rsidRPr="00FD6F5D" w:rsidRDefault="00141937" w:rsidP="00141937">
      <w:pPr>
        <w:spacing w:before="120"/>
        <w:ind w:left="426" w:hanging="426"/>
        <w:rPr>
          <w:lang w:val="en-GB"/>
        </w:rPr>
      </w:pPr>
      <w:r w:rsidRPr="00FD6F5D">
        <w:rPr>
          <w:lang w:val="en-GB"/>
        </w:rPr>
        <w:t>8.</w:t>
      </w:r>
      <w:r w:rsidRPr="00FD6F5D">
        <w:rPr>
          <w:lang w:val="en-GB"/>
        </w:rPr>
        <w:tab/>
        <w:t>Kim SS, Lau ST, Lee SL, Waldhausen JH The learning curve associated with laparoscopic pyloromyotomy J Laparoendosc Adv Surg Tech A. 2005;15(5)474-7</w:t>
      </w:r>
    </w:p>
    <w:p w:rsidR="00141937" w:rsidRPr="00FD6F5D" w:rsidRDefault="00141937" w:rsidP="00141937">
      <w:pPr>
        <w:spacing w:before="120"/>
        <w:ind w:left="426" w:hanging="426"/>
        <w:rPr>
          <w:lang w:val="en-GB"/>
        </w:rPr>
      </w:pPr>
      <w:r w:rsidRPr="00FD6F5D">
        <w:rPr>
          <w:lang w:val="en-GB"/>
        </w:rPr>
        <w:t>9.</w:t>
      </w:r>
      <w:r w:rsidRPr="00FD6F5D">
        <w:rPr>
          <w:lang w:val="en-GB"/>
        </w:rPr>
        <w:tab/>
        <w:t>Kawahara H et al, Medical treatment of infantile hypertrophic pyloric stenosis: should we always slice the “olive”? J Ped Surg 2005; 40:1848-51</w:t>
      </w:r>
    </w:p>
    <w:p w:rsidR="00141937" w:rsidRPr="00FD6F5D" w:rsidRDefault="00141937" w:rsidP="00141937">
      <w:pPr>
        <w:spacing w:before="120"/>
        <w:ind w:left="426" w:hanging="426"/>
        <w:rPr>
          <w:lang w:val="en-GB"/>
        </w:rPr>
      </w:pPr>
      <w:r w:rsidRPr="00FD6F5D">
        <w:rPr>
          <w:lang w:val="en-GB"/>
        </w:rPr>
        <w:t>10.</w:t>
      </w:r>
      <w:r w:rsidRPr="00FD6F5D">
        <w:rPr>
          <w:lang w:val="en-GB"/>
        </w:rPr>
        <w:tab/>
        <w:t>Hall, N J et al, Recovery after open versus laparoscopic</w:t>
      </w:r>
      <w:r>
        <w:rPr>
          <w:lang w:val="en-GB"/>
        </w:rPr>
        <w:t xml:space="preserve"> pyloromyotomy for pyloric sten</w:t>
      </w:r>
      <w:r w:rsidRPr="00FD6F5D">
        <w:rPr>
          <w:lang w:val="en-GB"/>
        </w:rPr>
        <w:t>osis: a double-blinded multicentre randomised controlled trial. The Lancet 2009;373:390-398</w:t>
      </w:r>
    </w:p>
    <w:p w:rsidR="00141937" w:rsidRPr="00FD6F5D" w:rsidRDefault="00141937" w:rsidP="00141937">
      <w:pPr>
        <w:spacing w:before="120"/>
        <w:ind w:left="426" w:hanging="426"/>
        <w:rPr>
          <w:lang w:val="en-GB"/>
        </w:rPr>
      </w:pPr>
      <w:r w:rsidRPr="00FD6F5D">
        <w:rPr>
          <w:lang w:val="en-GB"/>
        </w:rPr>
        <w:t>11.</w:t>
      </w:r>
      <w:r w:rsidRPr="00FD6F5D">
        <w:rPr>
          <w:lang w:val="en-GB"/>
        </w:rPr>
        <w:tab/>
        <w:t>Sola JE, Neville HL, Laparoscopic vs open pyloromyotomy: a systematic review and meta-analysis, J Pediatr Surg 2009 aug;44(8):1631-1637</w:t>
      </w:r>
    </w:p>
    <w:p w:rsidR="00141937" w:rsidRPr="00EE16C8" w:rsidRDefault="00141937" w:rsidP="00141937">
      <w:pPr>
        <w:spacing w:before="120"/>
        <w:ind w:left="426" w:hanging="426"/>
      </w:pPr>
      <w:r w:rsidRPr="00FD6F5D">
        <w:rPr>
          <w:lang w:val="en-GB"/>
        </w:rPr>
        <w:t xml:space="preserve">12. Ladd A P et al, Supraumbilical pyloromyotomy: a unique indication for antimicrobial prophylaxis. </w:t>
      </w:r>
      <w:r w:rsidRPr="00EE16C8">
        <w:t>J Pediatr Surg 2005;40,974-977</w:t>
      </w:r>
    </w:p>
    <w:p w:rsidR="00141937" w:rsidRPr="00EE16C8" w:rsidRDefault="00141937" w:rsidP="00141937">
      <w:pPr>
        <w:spacing w:before="120"/>
        <w:rPr>
          <w:b/>
          <w:sz w:val="28"/>
          <w:szCs w:val="28"/>
        </w:rPr>
      </w:pPr>
    </w:p>
    <w:p w:rsidR="0073674B" w:rsidRPr="006408A3" w:rsidRDefault="0073674B">
      <w:pPr>
        <w:widowControl/>
        <w:rPr>
          <w:b/>
          <w:sz w:val="28"/>
          <w:szCs w:val="28"/>
        </w:rPr>
      </w:pPr>
    </w:p>
    <w:p w:rsidR="00792109" w:rsidRPr="006408A3" w:rsidRDefault="00792109">
      <w:pPr>
        <w:widowControl/>
        <w:rPr>
          <w:b/>
          <w:sz w:val="28"/>
          <w:szCs w:val="28"/>
        </w:rPr>
      </w:pPr>
    </w:p>
    <w:p w:rsidR="0073674B" w:rsidRPr="006408A3" w:rsidRDefault="0073674B">
      <w:pPr>
        <w:widowControl/>
        <w:rPr>
          <w:b/>
          <w:sz w:val="28"/>
          <w:szCs w:val="28"/>
        </w:rPr>
      </w:pPr>
    </w:p>
    <w:p w:rsidR="008765DF" w:rsidRPr="006408A3" w:rsidRDefault="008765DF">
      <w:pPr>
        <w:widowControl/>
        <w:rPr>
          <w:b/>
          <w:sz w:val="28"/>
          <w:szCs w:val="28"/>
        </w:rPr>
      </w:pPr>
    </w:p>
    <w:p w:rsidR="008765DF" w:rsidRPr="006408A3" w:rsidRDefault="008765DF">
      <w:pPr>
        <w:widowControl/>
        <w:rPr>
          <w:b/>
          <w:sz w:val="28"/>
          <w:szCs w:val="28"/>
        </w:rPr>
      </w:pPr>
    </w:p>
    <w:p w:rsidR="008765DF" w:rsidRPr="006408A3" w:rsidRDefault="008765DF">
      <w:pPr>
        <w:widowControl/>
        <w:rPr>
          <w:b/>
          <w:sz w:val="28"/>
          <w:szCs w:val="28"/>
        </w:rPr>
      </w:pPr>
    </w:p>
    <w:p w:rsidR="008765DF" w:rsidRPr="006408A3" w:rsidRDefault="008765DF">
      <w:pPr>
        <w:widowControl/>
        <w:rPr>
          <w:b/>
          <w:sz w:val="28"/>
          <w:szCs w:val="28"/>
        </w:rPr>
      </w:pPr>
    </w:p>
    <w:p w:rsidR="008765DF" w:rsidRPr="006408A3" w:rsidRDefault="008765DF">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5C7CF9" w:rsidRPr="006408A3" w:rsidRDefault="005C7CF9">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73674B" w:rsidRPr="006408A3" w:rsidRDefault="0073674B">
      <w:pPr>
        <w:widowControl/>
        <w:rPr>
          <w:b/>
          <w:sz w:val="28"/>
          <w:szCs w:val="28"/>
        </w:rPr>
      </w:pPr>
    </w:p>
    <w:p w:rsidR="001C5ECA" w:rsidRPr="006408A3" w:rsidRDefault="001C5ECA">
      <w:pPr>
        <w:widowControl/>
        <w:rPr>
          <w:b/>
          <w:sz w:val="28"/>
          <w:szCs w:val="28"/>
        </w:rPr>
      </w:pPr>
    </w:p>
    <w:p w:rsidR="001C5ECA" w:rsidRPr="006408A3" w:rsidRDefault="001C5ECA">
      <w:pPr>
        <w:widowControl/>
        <w:rPr>
          <w:b/>
          <w:sz w:val="28"/>
          <w:szCs w:val="28"/>
        </w:rPr>
      </w:pPr>
    </w:p>
    <w:p w:rsidR="001C5ECA" w:rsidRPr="006408A3" w:rsidRDefault="001C5ECA">
      <w:pPr>
        <w:widowControl/>
        <w:rPr>
          <w:b/>
          <w:sz w:val="28"/>
          <w:szCs w:val="28"/>
        </w:rPr>
      </w:pPr>
    </w:p>
    <w:p w:rsidR="001C5ECA" w:rsidRPr="006408A3" w:rsidRDefault="001C5ECA">
      <w:pPr>
        <w:widowControl/>
        <w:rPr>
          <w:b/>
          <w:sz w:val="28"/>
          <w:szCs w:val="28"/>
        </w:rPr>
      </w:pPr>
    </w:p>
    <w:p w:rsidR="0073674B" w:rsidRPr="006408A3" w:rsidRDefault="0073674B">
      <w:pPr>
        <w:widowControl/>
        <w:rPr>
          <w:b/>
          <w:sz w:val="28"/>
          <w:szCs w:val="28"/>
        </w:rPr>
      </w:pPr>
    </w:p>
    <w:p w:rsidR="00730505" w:rsidRPr="006408A3" w:rsidRDefault="00730505">
      <w:pPr>
        <w:widowControl/>
        <w:rPr>
          <w:b/>
          <w:sz w:val="28"/>
          <w:szCs w:val="28"/>
        </w:rPr>
      </w:pPr>
    </w:p>
    <w:p w:rsidR="006408A3" w:rsidRDefault="006408A3">
      <w:pPr>
        <w:widowControl/>
        <w:rPr>
          <w:b/>
          <w:sz w:val="28"/>
          <w:szCs w:val="28"/>
        </w:rPr>
      </w:pPr>
    </w:p>
    <w:p w:rsidR="006408A3" w:rsidRDefault="006408A3">
      <w:pPr>
        <w:widowControl/>
        <w:rPr>
          <w:b/>
          <w:sz w:val="28"/>
          <w:szCs w:val="28"/>
        </w:rPr>
      </w:pPr>
    </w:p>
    <w:p w:rsidR="006408A3" w:rsidRDefault="006408A3">
      <w:pPr>
        <w:widowControl/>
        <w:rPr>
          <w:b/>
          <w:sz w:val="28"/>
          <w:szCs w:val="28"/>
        </w:rPr>
      </w:pPr>
    </w:p>
    <w:p w:rsidR="006408A3" w:rsidRDefault="006408A3">
      <w:pPr>
        <w:widowControl/>
        <w:rPr>
          <w:b/>
          <w:sz w:val="28"/>
          <w:szCs w:val="28"/>
        </w:rPr>
      </w:pPr>
    </w:p>
    <w:p w:rsidR="006408A3" w:rsidRDefault="006408A3">
      <w:pPr>
        <w:widowControl/>
        <w:rPr>
          <w:b/>
          <w:sz w:val="28"/>
          <w:szCs w:val="28"/>
        </w:rPr>
      </w:pPr>
    </w:p>
    <w:p w:rsidR="006408A3" w:rsidRDefault="006408A3">
      <w:pPr>
        <w:widowControl/>
        <w:rPr>
          <w:b/>
          <w:sz w:val="28"/>
          <w:szCs w:val="28"/>
        </w:rPr>
      </w:pPr>
    </w:p>
    <w:p w:rsidR="0073674B" w:rsidRDefault="006408A3">
      <w:pPr>
        <w:widowControl/>
        <w:rPr>
          <w:b/>
          <w:sz w:val="28"/>
          <w:szCs w:val="28"/>
        </w:rPr>
      </w:pPr>
      <w:r>
        <w:rPr>
          <w:b/>
          <w:sz w:val="28"/>
          <w:szCs w:val="28"/>
        </w:rPr>
        <w:t>V</w:t>
      </w:r>
      <w:r w:rsidR="001504AB">
        <w:rPr>
          <w:b/>
          <w:sz w:val="28"/>
          <w:szCs w:val="28"/>
        </w:rPr>
        <w:t>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6408A3" w:rsidP="00767522">
            <w:pPr>
              <w:spacing w:before="120" w:after="120"/>
              <w:jc w:val="both"/>
              <w:rPr>
                <w:b/>
                <w:bCs/>
              </w:rPr>
            </w:pPr>
            <w:r>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141937" w:rsidRPr="0073674B" w:rsidTr="00767522">
        <w:tc>
          <w:tcPr>
            <w:tcW w:w="1242" w:type="dxa"/>
            <w:shd w:val="clear" w:color="auto" w:fill="D9D9D9" w:themeFill="background1" w:themeFillShade="D9"/>
          </w:tcPr>
          <w:p w:rsidR="00141937" w:rsidRDefault="00141937" w:rsidP="00767522">
            <w:pPr>
              <w:spacing w:before="120" w:after="120"/>
              <w:jc w:val="both"/>
              <w:rPr>
                <w:b/>
                <w:bCs/>
              </w:rPr>
            </w:pPr>
          </w:p>
        </w:tc>
        <w:tc>
          <w:tcPr>
            <w:tcW w:w="1418" w:type="dxa"/>
            <w:shd w:val="clear" w:color="auto" w:fill="D9D9D9" w:themeFill="background1" w:themeFillShade="D9"/>
          </w:tcPr>
          <w:p w:rsidR="00141937" w:rsidRPr="0073674B" w:rsidRDefault="00141937" w:rsidP="00767522">
            <w:pPr>
              <w:spacing w:before="120" w:after="120"/>
              <w:jc w:val="both"/>
              <w:rPr>
                <w:b/>
                <w:bCs/>
              </w:rPr>
            </w:pPr>
          </w:p>
        </w:tc>
        <w:tc>
          <w:tcPr>
            <w:tcW w:w="4248" w:type="dxa"/>
            <w:shd w:val="clear" w:color="auto" w:fill="D9D9D9" w:themeFill="background1" w:themeFillShade="D9"/>
          </w:tcPr>
          <w:p w:rsidR="00141937" w:rsidRPr="0073674B" w:rsidRDefault="00141937" w:rsidP="00767522">
            <w:pPr>
              <w:spacing w:before="120" w:after="120"/>
              <w:jc w:val="both"/>
              <w:rPr>
                <w:b/>
                <w:bCs/>
              </w:rPr>
            </w:pPr>
          </w:p>
        </w:tc>
        <w:tc>
          <w:tcPr>
            <w:tcW w:w="2303" w:type="dxa"/>
            <w:shd w:val="clear" w:color="auto" w:fill="D9D9D9" w:themeFill="background1" w:themeFillShade="D9"/>
          </w:tcPr>
          <w:p w:rsidR="00141937" w:rsidRPr="0073674B" w:rsidRDefault="00141937" w:rsidP="00767522">
            <w:pPr>
              <w:spacing w:before="120" w:after="120"/>
              <w:jc w:val="both"/>
              <w:rPr>
                <w:b/>
                <w:bCs/>
              </w:rPr>
            </w:pPr>
          </w:p>
        </w:tc>
      </w:tr>
      <w:tr w:rsidR="00141937" w:rsidRPr="0073674B" w:rsidTr="00767522">
        <w:tc>
          <w:tcPr>
            <w:tcW w:w="1242" w:type="dxa"/>
          </w:tcPr>
          <w:p w:rsidR="00141937" w:rsidRDefault="00141937" w:rsidP="00767522">
            <w:r>
              <w:t>6</w:t>
            </w:r>
          </w:p>
        </w:tc>
        <w:tc>
          <w:tcPr>
            <w:tcW w:w="1418" w:type="dxa"/>
          </w:tcPr>
          <w:p w:rsidR="00141937" w:rsidRDefault="00141937" w:rsidP="00767522">
            <w:r>
              <w:t>20200421</w:t>
            </w:r>
          </w:p>
        </w:tc>
        <w:tc>
          <w:tcPr>
            <w:tcW w:w="4248" w:type="dxa"/>
          </w:tcPr>
          <w:p w:rsidR="00141937" w:rsidRPr="0073674B" w:rsidRDefault="00141937" w:rsidP="00767522">
            <w:r>
              <w:t>Uppdatering</w:t>
            </w:r>
          </w:p>
        </w:tc>
        <w:tc>
          <w:tcPr>
            <w:tcW w:w="2303" w:type="dxa"/>
          </w:tcPr>
          <w:p w:rsidR="00141937" w:rsidRDefault="00141937" w:rsidP="00767522">
            <w:r>
              <w:t>Jan F Svensson</w:t>
            </w:r>
          </w:p>
        </w:tc>
      </w:tr>
      <w:tr w:rsidR="0073674B" w:rsidRPr="0073674B" w:rsidTr="00767522">
        <w:tc>
          <w:tcPr>
            <w:tcW w:w="1242" w:type="dxa"/>
          </w:tcPr>
          <w:p w:rsidR="0073674B" w:rsidRPr="0073674B" w:rsidRDefault="007E2A9F" w:rsidP="00767522">
            <w:r>
              <w:t>5</w:t>
            </w:r>
          </w:p>
        </w:tc>
        <w:tc>
          <w:tcPr>
            <w:tcW w:w="1418" w:type="dxa"/>
          </w:tcPr>
          <w:p w:rsidR="0073674B" w:rsidRPr="0073674B" w:rsidRDefault="006408A3" w:rsidP="00767522">
            <w:r>
              <w:t>20140304</w:t>
            </w:r>
          </w:p>
        </w:tc>
        <w:tc>
          <w:tcPr>
            <w:tcW w:w="4248" w:type="dxa"/>
          </w:tcPr>
          <w:p w:rsidR="0073674B" w:rsidRPr="0073674B" w:rsidRDefault="0073674B" w:rsidP="00767522"/>
        </w:tc>
        <w:tc>
          <w:tcPr>
            <w:tcW w:w="2303" w:type="dxa"/>
          </w:tcPr>
          <w:p w:rsidR="0073674B" w:rsidRPr="0073674B" w:rsidRDefault="006408A3" w:rsidP="00767522">
            <w:r>
              <w:t>Jan F Svensson</w:t>
            </w:r>
          </w:p>
        </w:tc>
      </w:tr>
      <w:tr w:rsidR="00141937" w:rsidRPr="0073674B" w:rsidTr="00767522">
        <w:tc>
          <w:tcPr>
            <w:tcW w:w="1242" w:type="dxa"/>
          </w:tcPr>
          <w:p w:rsidR="00141937" w:rsidRDefault="00141937" w:rsidP="00767522"/>
        </w:tc>
        <w:tc>
          <w:tcPr>
            <w:tcW w:w="1418" w:type="dxa"/>
          </w:tcPr>
          <w:p w:rsidR="00141937" w:rsidRDefault="00141937" w:rsidP="00767522"/>
        </w:tc>
        <w:tc>
          <w:tcPr>
            <w:tcW w:w="4248" w:type="dxa"/>
          </w:tcPr>
          <w:p w:rsidR="00141937" w:rsidRPr="0073674B" w:rsidRDefault="00141937" w:rsidP="00767522"/>
        </w:tc>
        <w:tc>
          <w:tcPr>
            <w:tcW w:w="2303" w:type="dxa"/>
          </w:tcPr>
          <w:p w:rsidR="00141937" w:rsidRDefault="00141937" w:rsidP="00767522"/>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7"/>
      <w:footerReference w:type="default" r:id="rId8"/>
      <w:headerReference w:type="first" r:id="rId9"/>
      <w:footerReference w:type="first" r:id="rId10"/>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B6B" w:rsidRDefault="00411B6B" w:rsidP="00F47081">
      <w:r>
        <w:separator/>
      </w:r>
    </w:p>
  </w:endnote>
  <w:endnote w:type="continuationSeparator" w:id="0">
    <w:p w:rsidR="00411B6B" w:rsidRDefault="00411B6B"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116997"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Jan F Svensson/Karolinska/SLL;Markus Almström/Karolinska/SLL;Marie Nurmi/Karolinska/SLL;Julia Geborek Lundberg/Karolinska/SLL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116997"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Kar1-0188</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116997"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Tomas Wester/Karolinska/SLL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116997"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7</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116997"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2020-04-21</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687DC3"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116997">
            <w:rPr>
              <w:rFonts w:asciiTheme="minorHAnsi" w:hAnsiTheme="minorHAnsi"/>
              <w:noProof/>
              <w:sz w:val="16"/>
              <w:szCs w:val="16"/>
            </w:rPr>
            <w:t>2020-05-27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116997">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116997"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Jan F Svensson/Karolinska/SLL;Markus Almström/Karolinska/SLL;Marie Nurmi/Karolinska/SLL;Julia Geborek Lundberg/Karolinska/SLL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116997"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Kar1-0188</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116997"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Tomas Wester/Karolinska/SLL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116997"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7</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116997"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2020-04-21</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687DC3"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116997">
            <w:rPr>
              <w:rFonts w:asciiTheme="minorHAnsi" w:hAnsiTheme="minorHAnsi"/>
              <w:noProof/>
              <w:sz w:val="16"/>
              <w:szCs w:val="16"/>
            </w:rPr>
            <w:t>2020-05-27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116997">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B6B" w:rsidRDefault="00411B6B" w:rsidP="00F47081">
      <w:r>
        <w:separator/>
      </w:r>
    </w:p>
  </w:footnote>
  <w:footnote w:type="continuationSeparator" w:id="0">
    <w:p w:rsidR="00411B6B" w:rsidRDefault="00411B6B"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116997"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687DC3"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95747E">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473D3B">
            <w:rPr>
              <w:rFonts w:asciiTheme="minorHAnsi" w:hAnsiTheme="minorHAnsi"/>
              <w:noProof/>
            </w:rPr>
            <w:fldChar w:fldCharType="begin"/>
          </w:r>
          <w:r w:rsidR="00473D3B">
            <w:rPr>
              <w:rFonts w:asciiTheme="minorHAnsi" w:hAnsiTheme="minorHAnsi"/>
              <w:noProof/>
            </w:rPr>
            <w:instrText xml:space="preserve"> NUMPAGES  \* MERGEFORMAT </w:instrText>
          </w:r>
          <w:r w:rsidR="00473D3B">
            <w:rPr>
              <w:rFonts w:asciiTheme="minorHAnsi" w:hAnsiTheme="minorHAnsi"/>
              <w:noProof/>
            </w:rPr>
            <w:fldChar w:fldCharType="separate"/>
          </w:r>
          <w:r w:rsidR="0095747E" w:rsidRPr="0095747E">
            <w:rPr>
              <w:rFonts w:asciiTheme="minorHAnsi" w:hAnsiTheme="minorHAnsi"/>
              <w:noProof/>
            </w:rPr>
            <w:t>4</w:t>
          </w:r>
          <w:r w:rsidR="00473D3B">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95747E">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116997">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116997"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687DC3"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95747E">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473D3B">
            <w:rPr>
              <w:rFonts w:asciiTheme="minorHAnsi" w:hAnsiTheme="minorHAnsi"/>
              <w:noProof/>
            </w:rPr>
            <w:fldChar w:fldCharType="begin"/>
          </w:r>
          <w:r w:rsidR="00473D3B">
            <w:rPr>
              <w:rFonts w:asciiTheme="minorHAnsi" w:hAnsiTheme="minorHAnsi"/>
              <w:noProof/>
            </w:rPr>
            <w:instrText xml:space="preserve"> NUMPAGES  \* MERGEFORMAT </w:instrText>
          </w:r>
          <w:r w:rsidR="00473D3B">
            <w:rPr>
              <w:rFonts w:asciiTheme="minorHAnsi" w:hAnsiTheme="minorHAnsi"/>
              <w:noProof/>
            </w:rPr>
            <w:fldChar w:fldCharType="separate"/>
          </w:r>
          <w:r w:rsidR="0095747E" w:rsidRPr="0095747E">
            <w:rPr>
              <w:rFonts w:asciiTheme="minorHAnsi" w:hAnsiTheme="minorHAnsi"/>
              <w:noProof/>
            </w:rPr>
            <w:t>4</w:t>
          </w:r>
          <w:r w:rsidR="00473D3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95747E">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116997">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3E3E"/>
    <w:rsid w:val="00044EAF"/>
    <w:rsid w:val="00046063"/>
    <w:rsid w:val="00047E0F"/>
    <w:rsid w:val="00051851"/>
    <w:rsid w:val="000522FB"/>
    <w:rsid w:val="00072F71"/>
    <w:rsid w:val="00080A88"/>
    <w:rsid w:val="0009002D"/>
    <w:rsid w:val="00090B26"/>
    <w:rsid w:val="00097170"/>
    <w:rsid w:val="000A6A10"/>
    <w:rsid w:val="000B17EC"/>
    <w:rsid w:val="000B4D3D"/>
    <w:rsid w:val="000C04C7"/>
    <w:rsid w:val="000D4E47"/>
    <w:rsid w:val="000E3AC9"/>
    <w:rsid w:val="000F3530"/>
    <w:rsid w:val="000F4D65"/>
    <w:rsid w:val="00100FDC"/>
    <w:rsid w:val="00101E13"/>
    <w:rsid w:val="001101F1"/>
    <w:rsid w:val="00116997"/>
    <w:rsid w:val="00123992"/>
    <w:rsid w:val="00141937"/>
    <w:rsid w:val="001504AB"/>
    <w:rsid w:val="001516CD"/>
    <w:rsid w:val="00167279"/>
    <w:rsid w:val="00191D8A"/>
    <w:rsid w:val="0019376C"/>
    <w:rsid w:val="001A1351"/>
    <w:rsid w:val="001A4712"/>
    <w:rsid w:val="001C1BBD"/>
    <w:rsid w:val="001C3913"/>
    <w:rsid w:val="001C5ECA"/>
    <w:rsid w:val="001C71C5"/>
    <w:rsid w:val="001D0E4E"/>
    <w:rsid w:val="001E2505"/>
    <w:rsid w:val="001E6A21"/>
    <w:rsid w:val="001F232D"/>
    <w:rsid w:val="001F2B1C"/>
    <w:rsid w:val="002271CE"/>
    <w:rsid w:val="00233A25"/>
    <w:rsid w:val="00235B0D"/>
    <w:rsid w:val="002769F1"/>
    <w:rsid w:val="002C1CF4"/>
    <w:rsid w:val="002C4C2A"/>
    <w:rsid w:val="002C4EDA"/>
    <w:rsid w:val="002C574A"/>
    <w:rsid w:val="002C57F8"/>
    <w:rsid w:val="002F6D2D"/>
    <w:rsid w:val="00323C05"/>
    <w:rsid w:val="0033668A"/>
    <w:rsid w:val="00344348"/>
    <w:rsid w:val="003539AA"/>
    <w:rsid w:val="00356E00"/>
    <w:rsid w:val="00363F7D"/>
    <w:rsid w:val="00376CF2"/>
    <w:rsid w:val="003A5662"/>
    <w:rsid w:val="003B131D"/>
    <w:rsid w:val="003C230B"/>
    <w:rsid w:val="003C7DDC"/>
    <w:rsid w:val="003D1083"/>
    <w:rsid w:val="003D3D1C"/>
    <w:rsid w:val="003E11CA"/>
    <w:rsid w:val="003F0A35"/>
    <w:rsid w:val="003F5240"/>
    <w:rsid w:val="003F7062"/>
    <w:rsid w:val="004042DC"/>
    <w:rsid w:val="004056C6"/>
    <w:rsid w:val="00405774"/>
    <w:rsid w:val="00405E69"/>
    <w:rsid w:val="00407F90"/>
    <w:rsid w:val="004111D2"/>
    <w:rsid w:val="00411B6B"/>
    <w:rsid w:val="00447EBD"/>
    <w:rsid w:val="00452381"/>
    <w:rsid w:val="00463852"/>
    <w:rsid w:val="00463CE9"/>
    <w:rsid w:val="004644A8"/>
    <w:rsid w:val="00473759"/>
    <w:rsid w:val="00473D3B"/>
    <w:rsid w:val="00474607"/>
    <w:rsid w:val="004A7927"/>
    <w:rsid w:val="004C5F7B"/>
    <w:rsid w:val="004E0843"/>
    <w:rsid w:val="004F7032"/>
    <w:rsid w:val="00502B3C"/>
    <w:rsid w:val="00505E91"/>
    <w:rsid w:val="00522CC6"/>
    <w:rsid w:val="00523EAD"/>
    <w:rsid w:val="005253BF"/>
    <w:rsid w:val="005262F7"/>
    <w:rsid w:val="00533490"/>
    <w:rsid w:val="00536E3C"/>
    <w:rsid w:val="00541FCA"/>
    <w:rsid w:val="00543742"/>
    <w:rsid w:val="005647A8"/>
    <w:rsid w:val="00566B11"/>
    <w:rsid w:val="00576479"/>
    <w:rsid w:val="0059117C"/>
    <w:rsid w:val="00594B6A"/>
    <w:rsid w:val="005A75E6"/>
    <w:rsid w:val="005B04BF"/>
    <w:rsid w:val="005C1E82"/>
    <w:rsid w:val="005C2A6A"/>
    <w:rsid w:val="005C50FF"/>
    <w:rsid w:val="005C7CF9"/>
    <w:rsid w:val="005F4B07"/>
    <w:rsid w:val="005F6B0A"/>
    <w:rsid w:val="00602275"/>
    <w:rsid w:val="00605C27"/>
    <w:rsid w:val="006138C1"/>
    <w:rsid w:val="00624F6F"/>
    <w:rsid w:val="006321BA"/>
    <w:rsid w:val="006330C0"/>
    <w:rsid w:val="006408A3"/>
    <w:rsid w:val="00663476"/>
    <w:rsid w:val="0066413E"/>
    <w:rsid w:val="00664ED1"/>
    <w:rsid w:val="006658CE"/>
    <w:rsid w:val="00666B34"/>
    <w:rsid w:val="00677161"/>
    <w:rsid w:val="0068125E"/>
    <w:rsid w:val="00687DC3"/>
    <w:rsid w:val="00691147"/>
    <w:rsid w:val="006A552A"/>
    <w:rsid w:val="006B1AE1"/>
    <w:rsid w:val="006D2669"/>
    <w:rsid w:val="006D3EEA"/>
    <w:rsid w:val="006E318F"/>
    <w:rsid w:val="006E5CD4"/>
    <w:rsid w:val="00730505"/>
    <w:rsid w:val="007310E3"/>
    <w:rsid w:val="0073674B"/>
    <w:rsid w:val="00756427"/>
    <w:rsid w:val="00762575"/>
    <w:rsid w:val="0076688B"/>
    <w:rsid w:val="00773423"/>
    <w:rsid w:val="007825F9"/>
    <w:rsid w:val="00784D4F"/>
    <w:rsid w:val="00792109"/>
    <w:rsid w:val="007A7C5E"/>
    <w:rsid w:val="007A7CD8"/>
    <w:rsid w:val="007C46E0"/>
    <w:rsid w:val="007C481A"/>
    <w:rsid w:val="007E2A9F"/>
    <w:rsid w:val="00820E06"/>
    <w:rsid w:val="0083084E"/>
    <w:rsid w:val="00832910"/>
    <w:rsid w:val="0084434C"/>
    <w:rsid w:val="008765DF"/>
    <w:rsid w:val="00877AF7"/>
    <w:rsid w:val="00887EA3"/>
    <w:rsid w:val="00893D63"/>
    <w:rsid w:val="008956CE"/>
    <w:rsid w:val="008A147E"/>
    <w:rsid w:val="008A6A48"/>
    <w:rsid w:val="008B6CB0"/>
    <w:rsid w:val="008C2B03"/>
    <w:rsid w:val="008D143D"/>
    <w:rsid w:val="008E03CB"/>
    <w:rsid w:val="008F5F42"/>
    <w:rsid w:val="00916924"/>
    <w:rsid w:val="00926A38"/>
    <w:rsid w:val="009340F8"/>
    <w:rsid w:val="00946C7B"/>
    <w:rsid w:val="00947A73"/>
    <w:rsid w:val="0095747E"/>
    <w:rsid w:val="00964350"/>
    <w:rsid w:val="0097166F"/>
    <w:rsid w:val="009954D8"/>
    <w:rsid w:val="009A0B7E"/>
    <w:rsid w:val="009C2F30"/>
    <w:rsid w:val="009C5B19"/>
    <w:rsid w:val="009D21D7"/>
    <w:rsid w:val="009D51B5"/>
    <w:rsid w:val="009E34D9"/>
    <w:rsid w:val="009E6815"/>
    <w:rsid w:val="009F03FB"/>
    <w:rsid w:val="009F7319"/>
    <w:rsid w:val="00A1365F"/>
    <w:rsid w:val="00A4499E"/>
    <w:rsid w:val="00A50CC6"/>
    <w:rsid w:val="00A5791B"/>
    <w:rsid w:val="00A67932"/>
    <w:rsid w:val="00A80F9E"/>
    <w:rsid w:val="00A83DA6"/>
    <w:rsid w:val="00AD7B2E"/>
    <w:rsid w:val="00AE2C8C"/>
    <w:rsid w:val="00AF69EE"/>
    <w:rsid w:val="00B00F3E"/>
    <w:rsid w:val="00B07918"/>
    <w:rsid w:val="00B178F1"/>
    <w:rsid w:val="00B2112E"/>
    <w:rsid w:val="00B22B7D"/>
    <w:rsid w:val="00B237A2"/>
    <w:rsid w:val="00B24C48"/>
    <w:rsid w:val="00B46D94"/>
    <w:rsid w:val="00B5688E"/>
    <w:rsid w:val="00B7532A"/>
    <w:rsid w:val="00B81FC6"/>
    <w:rsid w:val="00B85E7F"/>
    <w:rsid w:val="00B97DA2"/>
    <w:rsid w:val="00BA3DB1"/>
    <w:rsid w:val="00BB2D58"/>
    <w:rsid w:val="00BB74B1"/>
    <w:rsid w:val="00BC2905"/>
    <w:rsid w:val="00BD7647"/>
    <w:rsid w:val="00BF186B"/>
    <w:rsid w:val="00BF67F4"/>
    <w:rsid w:val="00C11EF7"/>
    <w:rsid w:val="00C215F0"/>
    <w:rsid w:val="00C27304"/>
    <w:rsid w:val="00C579D4"/>
    <w:rsid w:val="00C712F5"/>
    <w:rsid w:val="00C90CCA"/>
    <w:rsid w:val="00CA6F8A"/>
    <w:rsid w:val="00CB116E"/>
    <w:rsid w:val="00CB341B"/>
    <w:rsid w:val="00CC1C71"/>
    <w:rsid w:val="00CC3836"/>
    <w:rsid w:val="00CC4FA1"/>
    <w:rsid w:val="00CC73B9"/>
    <w:rsid w:val="00CD53DF"/>
    <w:rsid w:val="00CF4644"/>
    <w:rsid w:val="00D21D17"/>
    <w:rsid w:val="00D264BE"/>
    <w:rsid w:val="00D270A5"/>
    <w:rsid w:val="00D32A25"/>
    <w:rsid w:val="00D3561B"/>
    <w:rsid w:val="00D50DA7"/>
    <w:rsid w:val="00D56B21"/>
    <w:rsid w:val="00D60013"/>
    <w:rsid w:val="00D61EE7"/>
    <w:rsid w:val="00D67F3A"/>
    <w:rsid w:val="00D7790F"/>
    <w:rsid w:val="00DA2C64"/>
    <w:rsid w:val="00DA4158"/>
    <w:rsid w:val="00DF3558"/>
    <w:rsid w:val="00DF3638"/>
    <w:rsid w:val="00E169EE"/>
    <w:rsid w:val="00E2003D"/>
    <w:rsid w:val="00E21228"/>
    <w:rsid w:val="00E63120"/>
    <w:rsid w:val="00E64F96"/>
    <w:rsid w:val="00E7592E"/>
    <w:rsid w:val="00E94A0B"/>
    <w:rsid w:val="00EA6533"/>
    <w:rsid w:val="00EB626B"/>
    <w:rsid w:val="00EC6562"/>
    <w:rsid w:val="00EC6E22"/>
    <w:rsid w:val="00ED41EB"/>
    <w:rsid w:val="00EE16C8"/>
    <w:rsid w:val="00EE5310"/>
    <w:rsid w:val="00EE5B69"/>
    <w:rsid w:val="00EE6DF8"/>
    <w:rsid w:val="00EF6425"/>
    <w:rsid w:val="00F0551D"/>
    <w:rsid w:val="00F055D4"/>
    <w:rsid w:val="00F11FD1"/>
    <w:rsid w:val="00F62AA2"/>
    <w:rsid w:val="00F93951"/>
    <w:rsid w:val="00FB4BA2"/>
    <w:rsid w:val="00FB7D90"/>
    <w:rsid w:val="00FD7F73"/>
    <w:rsid w:val="00FF0448"/>
    <w:rsid w:val="00FF79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65226AB7-7842-49EA-861D-B2B337E8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link w:val="Rubrik1Char"/>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aliases w:val="KU Rubrik 1 Char"/>
    <w:basedOn w:val="Standardstycketeckensnitt"/>
    <w:link w:val="Rubrik1"/>
    <w:rsid w:val="00141937"/>
    <w:rPr>
      <w:rFonts w:cs="Arial"/>
      <w:b/>
      <w:bC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2EDA-0699-4099-9EF9-DA521731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83CBD498.dotm</Template>
  <TotalTime>1</TotalTime>
  <Pages>4</Pages>
  <Words>1056</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Kristina Walfridsson</cp:lastModifiedBy>
  <cp:revision>8</cp:revision>
  <cp:lastPrinted>2005-03-23T12:04:00Z</cp:lastPrinted>
  <dcterms:created xsi:type="dcterms:W3CDTF">2020-04-21T08:27:00Z</dcterms:created>
  <dcterms:modified xsi:type="dcterms:W3CDTF">2020-05-27T14:15:00Z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724472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