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p w:rsidR="008C2B03" w:rsidRPr="00F96F55" w:rsidRDefault="003F4B13">
      <w:pPr>
        <w:pStyle w:val="Rubrik1"/>
        <w:rPr>
          <w:sz w:val="32"/>
          <w:szCs w:val="32"/>
        </w:rPr>
      </w:pPr>
      <w:r w:rsidRPr="00F96F55">
        <w:rPr>
          <w:sz w:val="32"/>
          <w:szCs w:val="32"/>
          <w:lang w:val="en-US"/>
        </w:rPr>
        <w:fldChar w:fldCharType="begin">
          <w:ffData>
            <w:name w:val="Rubrik"/>
            <w:enabled/>
            <w:calcOnExit w:val="0"/>
            <w:textInput>
              <w:default w:val="Shuntdysfunktion - BARN"/>
            </w:textInput>
          </w:ffData>
        </w:fldChar>
      </w:r>
      <w:r w:rsidR="00BA3DB1" w:rsidRPr="00F96F55">
        <w:rPr>
          <w:sz w:val="32"/>
          <w:szCs w:val="32"/>
        </w:rPr>
        <w:instrText xml:space="preserve"> FORMTEXT </w:instrText>
      </w:r>
      <w:r w:rsidR="00105AA5" w:rsidRPr="00F96F55">
        <w:rPr>
          <w:sz w:val="32"/>
          <w:szCs w:val="32"/>
          <w:lang w:val="en-US"/>
        </w:rPr>
      </w:r>
      <w:r w:rsidRPr="00F96F55">
        <w:rPr>
          <w:sz w:val="32"/>
          <w:szCs w:val="32"/>
          <w:lang w:val="en-US"/>
        </w:rPr>
        <w:fldChar w:fldCharType="separate"/>
      </w:r>
      <w:proofErr w:type="spellStart"/>
      <w:r w:rsidR="00105AA5">
        <w:rPr>
          <w:sz w:val="32"/>
          <w:szCs w:val="32"/>
          <w:lang w:val="en-US"/>
        </w:rPr>
        <w:t>Shuntdysfunktion</w:t>
      </w:r>
      <w:proofErr w:type="spellEnd"/>
      <w:r w:rsidR="00105AA5">
        <w:rPr>
          <w:sz w:val="32"/>
          <w:szCs w:val="32"/>
          <w:lang w:val="en-US"/>
        </w:rPr>
        <w:t xml:space="preserve"> - BARN</w:t>
      </w:r>
      <w:r w:rsidRPr="00F96F55">
        <w:rPr>
          <w:sz w:val="32"/>
          <w:szCs w:val="32"/>
          <w:lang w:val="en-US"/>
        </w:rPr>
        <w:fldChar w:fldCharType="end"/>
      </w:r>
      <w:bookmarkEnd w:id="0"/>
      <w:r w:rsidR="005253BF" w:rsidRPr="00F96F55">
        <w:rPr>
          <w:sz w:val="32"/>
          <w:szCs w:val="32"/>
        </w:rPr>
        <w:t xml:space="preserve"> </w:t>
      </w:r>
    </w:p>
    <w:p w:rsidR="003F7062" w:rsidRPr="00BA3DB1" w:rsidRDefault="003F7062" w:rsidP="003F7062"/>
    <w:p w:rsidR="004647C0" w:rsidRPr="00045A00" w:rsidRDefault="004647C0" w:rsidP="004647C0">
      <w:pPr>
        <w:pStyle w:val="Brdtext"/>
        <w:spacing w:after="0"/>
        <w:rPr>
          <w:sz w:val="24"/>
          <w:szCs w:val="24"/>
        </w:rPr>
      </w:pPr>
      <w:r w:rsidRPr="00045A00">
        <w:rPr>
          <w:sz w:val="24"/>
          <w:szCs w:val="24"/>
        </w:rPr>
        <w:t xml:space="preserve">På neurokirurgen/barnneurologen Astrid Lindgrens Barnsjukhus kontrolleras 300 - 400 barn med </w:t>
      </w:r>
      <w:proofErr w:type="spellStart"/>
      <w:r w:rsidRPr="00045A00">
        <w:rPr>
          <w:sz w:val="24"/>
          <w:szCs w:val="24"/>
        </w:rPr>
        <w:t>hydrocephalus</w:t>
      </w:r>
      <w:proofErr w:type="spellEnd"/>
      <w:r w:rsidRPr="00045A00">
        <w:rPr>
          <w:sz w:val="24"/>
          <w:szCs w:val="24"/>
        </w:rPr>
        <w:t xml:space="preserve"> (</w:t>
      </w:r>
      <w:proofErr w:type="spellStart"/>
      <w:r w:rsidRPr="00045A00">
        <w:rPr>
          <w:sz w:val="24"/>
          <w:szCs w:val="24"/>
        </w:rPr>
        <w:t>Hc</w:t>
      </w:r>
      <w:proofErr w:type="spellEnd"/>
      <w:r w:rsidRPr="00045A00">
        <w:rPr>
          <w:sz w:val="24"/>
          <w:szCs w:val="24"/>
        </w:rPr>
        <w:t xml:space="preserve">) varav cirka 140 också har </w:t>
      </w:r>
      <w:proofErr w:type="spellStart"/>
      <w:r w:rsidRPr="00045A00">
        <w:rPr>
          <w:sz w:val="24"/>
          <w:szCs w:val="24"/>
        </w:rPr>
        <w:t>myelomeningocele</w:t>
      </w:r>
      <w:proofErr w:type="spellEnd"/>
      <w:r w:rsidRPr="00045A00">
        <w:rPr>
          <w:sz w:val="24"/>
          <w:szCs w:val="24"/>
        </w:rPr>
        <w:t xml:space="preserve"> (MMC). </w:t>
      </w:r>
      <w:proofErr w:type="spellStart"/>
      <w:r w:rsidRPr="00045A00">
        <w:rPr>
          <w:sz w:val="24"/>
          <w:szCs w:val="24"/>
        </w:rPr>
        <w:t>Hc</w:t>
      </w:r>
      <w:proofErr w:type="spellEnd"/>
      <w:r w:rsidRPr="00045A00">
        <w:rPr>
          <w:sz w:val="24"/>
          <w:szCs w:val="24"/>
        </w:rPr>
        <w:t xml:space="preserve"> är et</w:t>
      </w:r>
      <w:r>
        <w:rPr>
          <w:sz w:val="24"/>
          <w:szCs w:val="24"/>
        </w:rPr>
        <w:t xml:space="preserve">t symtom på en rubbning i </w:t>
      </w:r>
      <w:proofErr w:type="spellStart"/>
      <w:r>
        <w:rPr>
          <w:sz w:val="24"/>
          <w:szCs w:val="24"/>
        </w:rPr>
        <w:t>likv</w:t>
      </w:r>
      <w:r w:rsidRPr="00045A00">
        <w:rPr>
          <w:sz w:val="24"/>
          <w:szCs w:val="24"/>
        </w:rPr>
        <w:t>orcirkulationen</w:t>
      </w:r>
      <w:proofErr w:type="spellEnd"/>
      <w:r w:rsidRPr="00045A00">
        <w:rPr>
          <w:sz w:val="24"/>
          <w:szCs w:val="24"/>
        </w:rPr>
        <w:t>. Den underliggande orsaken till denna rubbning är avgörande för om barnet i övrigt är friskt eller ej. Här finns hela skalan från normalbegåv</w:t>
      </w:r>
      <w:r>
        <w:rPr>
          <w:sz w:val="24"/>
          <w:szCs w:val="24"/>
        </w:rPr>
        <w:t>ade till gravt neurologiskt handikappade</w:t>
      </w:r>
      <w:r w:rsidRPr="00045A00">
        <w:rPr>
          <w:sz w:val="24"/>
          <w:szCs w:val="24"/>
        </w:rPr>
        <w:t xml:space="preserve"> barn.</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sz w:val="24"/>
          <w:szCs w:val="24"/>
        </w:rPr>
      </w:pPr>
      <w:r w:rsidRPr="00045A00">
        <w:rPr>
          <w:sz w:val="24"/>
          <w:szCs w:val="24"/>
        </w:rPr>
        <w:t xml:space="preserve">Behandlingen av </w:t>
      </w:r>
      <w:proofErr w:type="spellStart"/>
      <w:r w:rsidRPr="00045A00">
        <w:rPr>
          <w:sz w:val="24"/>
          <w:szCs w:val="24"/>
        </w:rPr>
        <w:t>Hc</w:t>
      </w:r>
      <w:proofErr w:type="spellEnd"/>
      <w:r w:rsidRPr="00045A00">
        <w:rPr>
          <w:sz w:val="24"/>
          <w:szCs w:val="24"/>
        </w:rPr>
        <w:t xml:space="preserve"> är kirurgisk. För att rätt kirurgisk teknik skall kunna användas är det väsentligt att orsaken till barnets </w:t>
      </w:r>
      <w:proofErr w:type="spellStart"/>
      <w:r w:rsidRPr="00045A00">
        <w:rPr>
          <w:sz w:val="24"/>
          <w:szCs w:val="24"/>
        </w:rPr>
        <w:t>Hc</w:t>
      </w:r>
      <w:proofErr w:type="spellEnd"/>
      <w:r w:rsidRPr="00045A00">
        <w:rPr>
          <w:sz w:val="24"/>
          <w:szCs w:val="24"/>
        </w:rPr>
        <w:t xml:space="preserve"> utreds så noggrant som möjligt. Vilken utredning som skall göras i det enskilda fallet avgörs i samråd med neurokirurg och neuroradiolog.</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sz w:val="24"/>
          <w:szCs w:val="24"/>
        </w:rPr>
      </w:pPr>
      <w:proofErr w:type="spellStart"/>
      <w:r w:rsidRPr="00045A00">
        <w:rPr>
          <w:sz w:val="24"/>
          <w:szCs w:val="24"/>
        </w:rPr>
        <w:t>Ventrikulocisternostomi</w:t>
      </w:r>
      <w:proofErr w:type="spellEnd"/>
      <w:r w:rsidRPr="00045A00">
        <w:rPr>
          <w:sz w:val="24"/>
          <w:szCs w:val="24"/>
        </w:rPr>
        <w:t xml:space="preserve"> (VCS), vid vilken en öppning skapas mellan 3e ventrikeln och basala cisternerna, är en endoskopisk met</w:t>
      </w:r>
      <w:r>
        <w:rPr>
          <w:sz w:val="24"/>
          <w:szCs w:val="24"/>
        </w:rPr>
        <w:t xml:space="preserve">od som används vid hinder i </w:t>
      </w:r>
      <w:proofErr w:type="spellStart"/>
      <w:r>
        <w:rPr>
          <w:sz w:val="24"/>
          <w:szCs w:val="24"/>
        </w:rPr>
        <w:t>likv</w:t>
      </w:r>
      <w:r w:rsidRPr="00045A00">
        <w:rPr>
          <w:sz w:val="24"/>
          <w:szCs w:val="24"/>
        </w:rPr>
        <w:t>orvägarna</w:t>
      </w:r>
      <w:proofErr w:type="spellEnd"/>
      <w:r w:rsidRPr="00045A00">
        <w:rPr>
          <w:sz w:val="24"/>
          <w:szCs w:val="24"/>
        </w:rPr>
        <w:t>, framför allt vid stopp i akvedukten.</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sz w:val="24"/>
          <w:szCs w:val="24"/>
        </w:rPr>
      </w:pPr>
      <w:r w:rsidRPr="00045A00">
        <w:rPr>
          <w:sz w:val="24"/>
          <w:szCs w:val="24"/>
        </w:rPr>
        <w:t>Nästan alla shuntopererade barn har en shunt mellan ventrikelsystemet och</w:t>
      </w:r>
      <w:r>
        <w:rPr>
          <w:sz w:val="24"/>
          <w:szCs w:val="24"/>
        </w:rPr>
        <w:t xml:space="preserve"> buken, en så kallad </w:t>
      </w:r>
      <w:proofErr w:type="spellStart"/>
      <w:r>
        <w:rPr>
          <w:sz w:val="24"/>
          <w:szCs w:val="24"/>
        </w:rPr>
        <w:t>ventrikulo</w:t>
      </w:r>
      <w:r w:rsidRPr="00045A00">
        <w:rPr>
          <w:sz w:val="24"/>
          <w:szCs w:val="24"/>
        </w:rPr>
        <w:t>peritoneal</w:t>
      </w:r>
      <w:proofErr w:type="spellEnd"/>
      <w:r w:rsidRPr="00045A00">
        <w:rPr>
          <w:sz w:val="24"/>
          <w:szCs w:val="24"/>
        </w:rPr>
        <w:t xml:space="preserve"> (V-P) shunt. Enstaka patienter har den distala kateter</w:t>
      </w:r>
      <w:r>
        <w:rPr>
          <w:sz w:val="24"/>
          <w:szCs w:val="24"/>
        </w:rPr>
        <w:t xml:space="preserve">n till hö förmak, en </w:t>
      </w:r>
      <w:proofErr w:type="spellStart"/>
      <w:r>
        <w:rPr>
          <w:sz w:val="24"/>
          <w:szCs w:val="24"/>
        </w:rPr>
        <w:t>ventrikulo</w:t>
      </w:r>
      <w:r w:rsidRPr="00045A00">
        <w:rPr>
          <w:sz w:val="24"/>
          <w:szCs w:val="24"/>
        </w:rPr>
        <w:t>atrial</w:t>
      </w:r>
      <w:proofErr w:type="spellEnd"/>
      <w:r w:rsidRPr="00045A00">
        <w:rPr>
          <w:sz w:val="24"/>
          <w:szCs w:val="24"/>
        </w:rPr>
        <w:t xml:space="preserve"> (V-A) shunt.</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sz w:val="24"/>
          <w:szCs w:val="24"/>
        </w:rPr>
      </w:pPr>
      <w:r w:rsidRPr="00045A00">
        <w:rPr>
          <w:sz w:val="24"/>
          <w:szCs w:val="24"/>
        </w:rPr>
        <w:t xml:space="preserve">Både </w:t>
      </w:r>
      <w:r>
        <w:rPr>
          <w:sz w:val="24"/>
          <w:szCs w:val="24"/>
        </w:rPr>
        <w:t>VCS och shunt har risk för otillräcklig funktion</w:t>
      </w:r>
      <w:r w:rsidRPr="00045A00">
        <w:rPr>
          <w:sz w:val="24"/>
          <w:szCs w:val="24"/>
        </w:rPr>
        <w:t>; symtomen och hastigheten med vilka de uppträder varierar mellan in</w:t>
      </w:r>
      <w:r w:rsidRPr="00045A00">
        <w:rPr>
          <w:sz w:val="24"/>
          <w:szCs w:val="24"/>
        </w:rPr>
        <w:softHyphen/>
        <w:t>di</w:t>
      </w:r>
      <w:r w:rsidRPr="00045A00">
        <w:rPr>
          <w:sz w:val="24"/>
          <w:szCs w:val="24"/>
        </w:rPr>
        <w:softHyphen/>
        <w:t>vider. Ett barn med MMC och HC är sällan 100 % beroende av sin VCS/shunt och utvecklar ofta symtom, som kan vara intermittenta, under dagar/ve</w:t>
      </w:r>
      <w:r>
        <w:rPr>
          <w:sz w:val="24"/>
          <w:szCs w:val="24"/>
        </w:rPr>
        <w:t xml:space="preserve">ckor. Andra barn är för sin </w:t>
      </w:r>
      <w:proofErr w:type="spellStart"/>
      <w:r>
        <w:rPr>
          <w:sz w:val="24"/>
          <w:szCs w:val="24"/>
        </w:rPr>
        <w:t>likv</w:t>
      </w:r>
      <w:r w:rsidRPr="00045A00">
        <w:rPr>
          <w:sz w:val="24"/>
          <w:szCs w:val="24"/>
        </w:rPr>
        <w:t>orcirkulation</w:t>
      </w:r>
      <w:proofErr w:type="spellEnd"/>
      <w:r w:rsidRPr="00045A00">
        <w:rPr>
          <w:sz w:val="24"/>
          <w:szCs w:val="24"/>
        </w:rPr>
        <w:t xml:space="preserve"> helt shuntberoende. Uppträder hos dessa et</w:t>
      </w:r>
      <w:r>
        <w:rPr>
          <w:sz w:val="24"/>
          <w:szCs w:val="24"/>
        </w:rPr>
        <w:t>t akut shunt</w:t>
      </w:r>
      <w:r w:rsidRPr="00045A00">
        <w:rPr>
          <w:sz w:val="24"/>
          <w:szCs w:val="24"/>
        </w:rPr>
        <w:t xml:space="preserve">stopp kan de snabbt utveckla ett förhöjt </w:t>
      </w:r>
      <w:proofErr w:type="spellStart"/>
      <w:r w:rsidRPr="00045A00">
        <w:rPr>
          <w:sz w:val="24"/>
          <w:szCs w:val="24"/>
        </w:rPr>
        <w:t>intrakraniellt</w:t>
      </w:r>
      <w:proofErr w:type="spellEnd"/>
      <w:r w:rsidRPr="00045A00">
        <w:rPr>
          <w:sz w:val="24"/>
          <w:szCs w:val="24"/>
        </w:rPr>
        <w:t xml:space="preserve"> tryck som kan bli </w:t>
      </w:r>
      <w:bookmarkStart w:id="1" w:name="_Toc369604412"/>
      <w:r w:rsidRPr="00045A00">
        <w:rPr>
          <w:sz w:val="24"/>
          <w:szCs w:val="24"/>
        </w:rPr>
        <w:t>livs</w:t>
      </w:r>
      <w:r w:rsidRPr="00045A00">
        <w:rPr>
          <w:sz w:val="24"/>
          <w:szCs w:val="24"/>
        </w:rPr>
        <w:softHyphen/>
        <w:t>hotande inom några timmar.</w:t>
      </w:r>
    </w:p>
    <w:p w:rsidR="004647C0" w:rsidRDefault="004647C0" w:rsidP="004647C0">
      <w:pPr>
        <w:pStyle w:val="Rubrik3"/>
        <w:rPr>
          <w:bCs w:val="0"/>
          <w:sz w:val="24"/>
          <w:szCs w:val="24"/>
        </w:rPr>
      </w:pPr>
    </w:p>
    <w:p w:rsidR="004647C0" w:rsidRDefault="004647C0" w:rsidP="004647C0">
      <w:pPr>
        <w:pStyle w:val="Rubrik3"/>
        <w:rPr>
          <w:bCs w:val="0"/>
          <w:sz w:val="28"/>
          <w:szCs w:val="28"/>
        </w:rPr>
      </w:pPr>
      <w:r w:rsidRPr="00F96F55">
        <w:rPr>
          <w:bCs w:val="0"/>
          <w:sz w:val="28"/>
          <w:szCs w:val="28"/>
        </w:rPr>
        <w:t xml:space="preserve">Symtom vid förhöjt </w:t>
      </w:r>
      <w:proofErr w:type="spellStart"/>
      <w:r w:rsidRPr="00F96F55">
        <w:rPr>
          <w:bCs w:val="0"/>
          <w:sz w:val="28"/>
          <w:szCs w:val="28"/>
        </w:rPr>
        <w:t>intrakraniellt</w:t>
      </w:r>
      <w:proofErr w:type="spellEnd"/>
      <w:r w:rsidRPr="00F96F55">
        <w:rPr>
          <w:bCs w:val="0"/>
          <w:sz w:val="28"/>
          <w:szCs w:val="28"/>
        </w:rPr>
        <w:t xml:space="preserve"> tryck</w:t>
      </w:r>
    </w:p>
    <w:p w:rsidR="004647C0" w:rsidRPr="007671EB" w:rsidRDefault="004647C0" w:rsidP="004647C0">
      <w:pPr>
        <w:pStyle w:val="KuRapportbrdtextunderniv"/>
      </w:pPr>
    </w:p>
    <w:bookmarkEnd w:id="1"/>
    <w:p w:rsidR="004647C0" w:rsidRPr="00045A00" w:rsidRDefault="004647C0" w:rsidP="004647C0">
      <w:pPr>
        <w:pStyle w:val="Brdtext"/>
        <w:spacing w:after="0"/>
        <w:rPr>
          <w:sz w:val="24"/>
          <w:szCs w:val="24"/>
        </w:rPr>
      </w:pPr>
      <w:r>
        <w:rPr>
          <w:sz w:val="24"/>
          <w:szCs w:val="24"/>
        </w:rPr>
        <w:t>Det mest typiska symtomen är h</w:t>
      </w:r>
      <w:r w:rsidRPr="00045A00">
        <w:rPr>
          <w:sz w:val="24"/>
          <w:szCs w:val="24"/>
        </w:rPr>
        <w:t>uvudvärk, illamående, kräkningar, sänkt medvetandegrad.</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sz w:val="24"/>
          <w:szCs w:val="24"/>
        </w:rPr>
      </w:pPr>
      <w:r w:rsidRPr="00045A00">
        <w:rPr>
          <w:sz w:val="24"/>
          <w:szCs w:val="24"/>
        </w:rPr>
        <w:t xml:space="preserve">I </w:t>
      </w:r>
      <w:r w:rsidRPr="00045A00">
        <w:rPr>
          <w:i/>
          <w:sz w:val="24"/>
          <w:szCs w:val="24"/>
        </w:rPr>
        <w:t>neurologstatus</w:t>
      </w:r>
      <w:r w:rsidRPr="00045A00">
        <w:rPr>
          <w:sz w:val="24"/>
          <w:szCs w:val="24"/>
        </w:rPr>
        <w:t xml:space="preserve"> kan noteras patologis</w:t>
      </w:r>
      <w:r>
        <w:rPr>
          <w:sz w:val="24"/>
          <w:szCs w:val="24"/>
        </w:rPr>
        <w:t>k ögonmotorik såsom solnedgångsblick</w:t>
      </w:r>
      <w:r w:rsidRPr="00045A00">
        <w:rPr>
          <w:sz w:val="24"/>
          <w:szCs w:val="24"/>
        </w:rPr>
        <w:t xml:space="preserve"> och strabism, framför allt </w:t>
      </w:r>
      <w:proofErr w:type="spellStart"/>
      <w:r w:rsidRPr="00045A00">
        <w:rPr>
          <w:sz w:val="24"/>
          <w:szCs w:val="24"/>
        </w:rPr>
        <w:t>abducenspåverkan</w:t>
      </w:r>
      <w:proofErr w:type="spellEnd"/>
      <w:r w:rsidRPr="00045A00">
        <w:rPr>
          <w:sz w:val="24"/>
          <w:szCs w:val="24"/>
        </w:rPr>
        <w:t xml:space="preserve"> och eventu</w:t>
      </w:r>
      <w:r w:rsidRPr="00045A00">
        <w:rPr>
          <w:sz w:val="24"/>
          <w:szCs w:val="24"/>
        </w:rPr>
        <w:softHyphen/>
        <w:t>ellt stegrade extremitetsreflexer.</w:t>
      </w:r>
    </w:p>
    <w:p w:rsidR="004647C0" w:rsidRPr="00045A00" w:rsidRDefault="004647C0" w:rsidP="004647C0">
      <w:pPr>
        <w:pStyle w:val="Brdtext"/>
        <w:spacing w:after="0"/>
        <w:rPr>
          <w:sz w:val="24"/>
          <w:szCs w:val="24"/>
        </w:rPr>
      </w:pPr>
    </w:p>
    <w:p w:rsidR="004647C0" w:rsidRDefault="004647C0" w:rsidP="004647C0">
      <w:pPr>
        <w:pStyle w:val="Brdtext"/>
        <w:spacing w:after="0"/>
        <w:rPr>
          <w:sz w:val="24"/>
          <w:szCs w:val="24"/>
        </w:rPr>
      </w:pPr>
      <w:r w:rsidRPr="00045A00">
        <w:rPr>
          <w:sz w:val="24"/>
          <w:szCs w:val="24"/>
        </w:rPr>
        <w:t xml:space="preserve">Om det förhöjda </w:t>
      </w:r>
      <w:proofErr w:type="spellStart"/>
      <w:r w:rsidRPr="00045A00">
        <w:rPr>
          <w:sz w:val="24"/>
          <w:szCs w:val="24"/>
        </w:rPr>
        <w:t>intra</w:t>
      </w:r>
      <w:r>
        <w:rPr>
          <w:sz w:val="24"/>
          <w:szCs w:val="24"/>
        </w:rPr>
        <w:t>kraniella</w:t>
      </w:r>
      <w:proofErr w:type="spellEnd"/>
      <w:r>
        <w:rPr>
          <w:sz w:val="24"/>
          <w:szCs w:val="24"/>
        </w:rPr>
        <w:t xml:space="preserve"> trycket har funnits </w:t>
      </w:r>
      <w:r w:rsidRPr="00045A00">
        <w:rPr>
          <w:sz w:val="24"/>
          <w:szCs w:val="24"/>
        </w:rPr>
        <w:t>en tid kan ögonbotten</w:t>
      </w:r>
      <w:r w:rsidRPr="00045A00">
        <w:rPr>
          <w:sz w:val="24"/>
          <w:szCs w:val="24"/>
        </w:rPr>
        <w:softHyphen/>
        <w:t xml:space="preserve">spegling avslöja </w:t>
      </w:r>
      <w:r>
        <w:rPr>
          <w:sz w:val="24"/>
          <w:szCs w:val="24"/>
        </w:rPr>
        <w:t>papill</w:t>
      </w:r>
      <w:r>
        <w:rPr>
          <w:sz w:val="24"/>
          <w:szCs w:val="24"/>
        </w:rPr>
        <w:softHyphen/>
        <w:t>ödem/</w:t>
      </w:r>
      <w:proofErr w:type="spellStart"/>
      <w:r>
        <w:rPr>
          <w:sz w:val="24"/>
          <w:szCs w:val="24"/>
        </w:rPr>
        <w:t>protrusion</w:t>
      </w:r>
      <w:proofErr w:type="spellEnd"/>
      <w:r>
        <w:rPr>
          <w:sz w:val="24"/>
          <w:szCs w:val="24"/>
        </w:rPr>
        <w:t>.</w:t>
      </w:r>
      <w:r w:rsidRPr="00045A00">
        <w:rPr>
          <w:sz w:val="24"/>
          <w:szCs w:val="24"/>
        </w:rPr>
        <w:t xml:space="preserve"> </w:t>
      </w:r>
    </w:p>
    <w:p w:rsidR="004647C0" w:rsidRDefault="004647C0" w:rsidP="004647C0">
      <w:pPr>
        <w:pStyle w:val="Brdtext"/>
        <w:spacing w:after="0"/>
        <w:rPr>
          <w:sz w:val="24"/>
          <w:szCs w:val="24"/>
        </w:rPr>
      </w:pPr>
    </w:p>
    <w:p w:rsidR="004647C0" w:rsidRDefault="004647C0" w:rsidP="004647C0">
      <w:pPr>
        <w:pStyle w:val="Rubrik3"/>
        <w:rPr>
          <w:bCs w:val="0"/>
          <w:sz w:val="28"/>
          <w:szCs w:val="28"/>
        </w:rPr>
      </w:pPr>
      <w:bookmarkStart w:id="2" w:name="_Toc369604413"/>
      <w:r w:rsidRPr="00045A00">
        <w:rPr>
          <w:b w:val="0"/>
          <w:bCs w:val="0"/>
          <w:szCs w:val="24"/>
        </w:rPr>
        <w:br/>
      </w:r>
      <w:r w:rsidRPr="00F96F55">
        <w:rPr>
          <w:bCs w:val="0"/>
          <w:sz w:val="28"/>
          <w:szCs w:val="28"/>
        </w:rPr>
        <w:t>Symptom vid infektion</w:t>
      </w:r>
      <w:bookmarkEnd w:id="2"/>
    </w:p>
    <w:p w:rsidR="004647C0" w:rsidRPr="007671EB" w:rsidRDefault="004647C0" w:rsidP="004647C0">
      <w:pPr>
        <w:pStyle w:val="KuRapportbrdtextunderniv"/>
      </w:pPr>
    </w:p>
    <w:p w:rsidR="004647C0" w:rsidRDefault="004647C0" w:rsidP="004647C0">
      <w:pPr>
        <w:pStyle w:val="Brdtext"/>
        <w:spacing w:after="0"/>
        <w:rPr>
          <w:sz w:val="24"/>
          <w:szCs w:val="24"/>
        </w:rPr>
      </w:pPr>
      <w:r w:rsidRPr="00045A00">
        <w:rPr>
          <w:sz w:val="24"/>
          <w:szCs w:val="24"/>
        </w:rPr>
        <w:t xml:space="preserve">Det förekommer att </w:t>
      </w:r>
      <w:r w:rsidRPr="00045A00">
        <w:rPr>
          <w:b/>
          <w:sz w:val="24"/>
          <w:szCs w:val="24"/>
        </w:rPr>
        <w:t>shuntsystemet blir infekterat</w:t>
      </w:r>
      <w:r w:rsidRPr="00045A00">
        <w:rPr>
          <w:sz w:val="24"/>
          <w:szCs w:val="24"/>
        </w:rPr>
        <w:t xml:space="preserve"> och då i regel i anslutning till operation, men symtom kan uppträda först flera veckor efter op. De domi</w:t>
      </w:r>
      <w:r w:rsidRPr="00045A00">
        <w:rPr>
          <w:sz w:val="24"/>
          <w:szCs w:val="24"/>
        </w:rPr>
        <w:softHyphen/>
        <w:t xml:space="preserve">nerande symtomen är då i regel </w:t>
      </w:r>
    </w:p>
    <w:p w:rsidR="004647C0" w:rsidRDefault="004647C0" w:rsidP="004647C0">
      <w:pPr>
        <w:pStyle w:val="Brdtext"/>
        <w:spacing w:after="0"/>
        <w:rPr>
          <w:sz w:val="24"/>
          <w:szCs w:val="24"/>
        </w:rPr>
      </w:pPr>
      <w:bookmarkStart w:id="3" w:name="_GoBack"/>
      <w:bookmarkEnd w:id="3"/>
      <w:r w:rsidRPr="00045A00">
        <w:rPr>
          <w:sz w:val="24"/>
          <w:szCs w:val="24"/>
        </w:rPr>
        <w:lastRenderedPageBreak/>
        <w:t xml:space="preserve">tecken på shuntdysfunktion eller </w:t>
      </w:r>
      <w:r w:rsidRPr="00045A00">
        <w:rPr>
          <w:b/>
          <w:sz w:val="24"/>
          <w:szCs w:val="24"/>
        </w:rPr>
        <w:t>bukbesvär.</w:t>
      </w:r>
      <w:r w:rsidRPr="00045A00">
        <w:rPr>
          <w:b/>
          <w:i/>
          <w:sz w:val="24"/>
          <w:szCs w:val="24"/>
        </w:rPr>
        <w:t xml:space="preserve"> </w:t>
      </w:r>
      <w:r w:rsidRPr="00045A00">
        <w:rPr>
          <w:sz w:val="24"/>
          <w:szCs w:val="24"/>
        </w:rPr>
        <w:t xml:space="preserve">Vanligaste agens vid infektion är lågvirulenta bakterier såsom </w:t>
      </w:r>
      <w:proofErr w:type="spellStart"/>
      <w:r w:rsidRPr="00045A00">
        <w:rPr>
          <w:sz w:val="24"/>
          <w:szCs w:val="24"/>
        </w:rPr>
        <w:t>koagulasnegativa</w:t>
      </w:r>
      <w:proofErr w:type="spellEnd"/>
      <w:r w:rsidRPr="00045A00">
        <w:rPr>
          <w:sz w:val="24"/>
          <w:szCs w:val="24"/>
        </w:rPr>
        <w:t xml:space="preserve"> stafylokocker, </w:t>
      </w:r>
      <w:proofErr w:type="spellStart"/>
      <w:r w:rsidRPr="00045A00">
        <w:rPr>
          <w:sz w:val="24"/>
          <w:szCs w:val="24"/>
        </w:rPr>
        <w:t>propionebakterier</w:t>
      </w:r>
      <w:proofErr w:type="spellEnd"/>
      <w:r w:rsidRPr="00045A00">
        <w:rPr>
          <w:sz w:val="24"/>
          <w:szCs w:val="24"/>
        </w:rPr>
        <w:t xml:space="preserve"> och </w:t>
      </w:r>
      <w:proofErr w:type="spellStart"/>
      <w:r w:rsidRPr="00045A00">
        <w:rPr>
          <w:sz w:val="24"/>
          <w:szCs w:val="24"/>
        </w:rPr>
        <w:t>stafylokockus</w:t>
      </w:r>
      <w:proofErr w:type="spellEnd"/>
      <w:r w:rsidRPr="00045A00">
        <w:rPr>
          <w:sz w:val="24"/>
          <w:szCs w:val="24"/>
        </w:rPr>
        <w:t xml:space="preserve"> </w:t>
      </w:r>
      <w:proofErr w:type="spellStart"/>
      <w:r w:rsidRPr="00045A00">
        <w:rPr>
          <w:sz w:val="24"/>
          <w:szCs w:val="24"/>
        </w:rPr>
        <w:t>aureus</w:t>
      </w:r>
      <w:proofErr w:type="spellEnd"/>
      <w:r w:rsidRPr="00045A00">
        <w:rPr>
          <w:sz w:val="24"/>
          <w:szCs w:val="24"/>
        </w:rPr>
        <w:t xml:space="preserve">. </w:t>
      </w:r>
      <w:r w:rsidRPr="00045A00">
        <w:rPr>
          <w:sz w:val="24"/>
          <w:szCs w:val="24"/>
        </w:rPr>
        <w:br/>
        <w:t>Övriga infektionstecken är lindriga; låg svängande feber och normal – lätt stegring av CRP.</w:t>
      </w:r>
    </w:p>
    <w:p w:rsidR="004647C0" w:rsidRDefault="004647C0" w:rsidP="004647C0">
      <w:pPr>
        <w:pStyle w:val="Brdtext"/>
        <w:spacing w:after="0"/>
        <w:rPr>
          <w:sz w:val="24"/>
          <w:szCs w:val="24"/>
        </w:rPr>
      </w:pPr>
      <w:r>
        <w:rPr>
          <w:sz w:val="24"/>
          <w:szCs w:val="24"/>
        </w:rPr>
        <w:t>Ibland kan även en shuntinfektion manifestera sig med cystbildning kring shuntspetsen. Man bör därför vara frikostig med ultraljud av buken vid misstanke om distal shuntdysfunktion.</w:t>
      </w:r>
    </w:p>
    <w:p w:rsidR="004647C0" w:rsidRDefault="004647C0" w:rsidP="004647C0">
      <w:pPr>
        <w:pStyle w:val="Brdtext"/>
        <w:spacing w:after="0"/>
        <w:rPr>
          <w:sz w:val="24"/>
          <w:szCs w:val="24"/>
        </w:rPr>
      </w:pPr>
    </w:p>
    <w:p w:rsidR="004647C0" w:rsidRPr="00045A00" w:rsidRDefault="004647C0" w:rsidP="004647C0">
      <w:pPr>
        <w:pStyle w:val="Brdtext"/>
        <w:spacing w:after="0"/>
        <w:rPr>
          <w:sz w:val="24"/>
          <w:szCs w:val="24"/>
        </w:rPr>
      </w:pPr>
      <w:r w:rsidRPr="00045A00">
        <w:rPr>
          <w:sz w:val="24"/>
          <w:szCs w:val="24"/>
        </w:rPr>
        <w:t xml:space="preserve">Vid behov av </w:t>
      </w:r>
      <w:proofErr w:type="spellStart"/>
      <w:r w:rsidRPr="00045A00">
        <w:rPr>
          <w:sz w:val="24"/>
          <w:szCs w:val="24"/>
        </w:rPr>
        <w:t>liquorprov</w:t>
      </w:r>
      <w:proofErr w:type="spellEnd"/>
      <w:r w:rsidRPr="00045A00">
        <w:rPr>
          <w:sz w:val="24"/>
          <w:szCs w:val="24"/>
        </w:rPr>
        <w:t xml:space="preserve"> kontakta neurokirurg, se nedan, angående möjligheter att punktera shunten.</w:t>
      </w:r>
      <w:r>
        <w:rPr>
          <w:sz w:val="24"/>
          <w:szCs w:val="24"/>
        </w:rPr>
        <w:t xml:space="preserve"> Om barnet inte har en obstruktiv </w:t>
      </w:r>
      <w:proofErr w:type="spellStart"/>
      <w:r>
        <w:rPr>
          <w:sz w:val="24"/>
          <w:szCs w:val="24"/>
        </w:rPr>
        <w:t>hydrocefalus</w:t>
      </w:r>
      <w:proofErr w:type="spellEnd"/>
      <w:r>
        <w:rPr>
          <w:sz w:val="24"/>
          <w:szCs w:val="24"/>
        </w:rPr>
        <w:t xml:space="preserve"> kan lumbalpunktion vara det bra sätt att få prov på cerebrospinalvätska. Vid </w:t>
      </w:r>
      <w:proofErr w:type="spellStart"/>
      <w:r>
        <w:rPr>
          <w:sz w:val="24"/>
          <w:szCs w:val="24"/>
        </w:rPr>
        <w:t>likvorodling</w:t>
      </w:r>
      <w:proofErr w:type="spellEnd"/>
      <w:r>
        <w:rPr>
          <w:sz w:val="24"/>
          <w:szCs w:val="24"/>
        </w:rPr>
        <w:t xml:space="preserve"> bör förlängd odlingstid (10 dagar) begäras.</w:t>
      </w:r>
    </w:p>
    <w:p w:rsidR="004647C0" w:rsidRDefault="004647C0" w:rsidP="004647C0">
      <w:pPr>
        <w:pStyle w:val="Brdtext"/>
        <w:spacing w:after="0"/>
        <w:rPr>
          <w:sz w:val="24"/>
          <w:szCs w:val="24"/>
        </w:rPr>
      </w:pPr>
    </w:p>
    <w:p w:rsidR="004647C0" w:rsidRDefault="004647C0" w:rsidP="004647C0">
      <w:pPr>
        <w:pStyle w:val="Brdtext"/>
        <w:spacing w:after="0"/>
        <w:rPr>
          <w:sz w:val="24"/>
          <w:szCs w:val="24"/>
        </w:rPr>
      </w:pPr>
      <w:r>
        <w:rPr>
          <w:sz w:val="24"/>
          <w:szCs w:val="24"/>
        </w:rPr>
        <w:t xml:space="preserve">En </w:t>
      </w:r>
      <w:proofErr w:type="spellStart"/>
      <w:r>
        <w:rPr>
          <w:sz w:val="24"/>
          <w:szCs w:val="24"/>
        </w:rPr>
        <w:t>ventrikuloatrial</w:t>
      </w:r>
      <w:proofErr w:type="spellEnd"/>
      <w:r>
        <w:rPr>
          <w:sz w:val="24"/>
          <w:szCs w:val="24"/>
        </w:rPr>
        <w:t xml:space="preserve"> shunt mynnar ut i blodbanan och hos dessa barn talar en positiv blododling starkt för en shuntinfektion.</w:t>
      </w:r>
    </w:p>
    <w:p w:rsidR="004647C0" w:rsidRPr="00045A00" w:rsidRDefault="004647C0" w:rsidP="004647C0">
      <w:pPr>
        <w:pStyle w:val="Brdtext"/>
        <w:spacing w:after="0"/>
        <w:rPr>
          <w:sz w:val="24"/>
          <w:szCs w:val="24"/>
        </w:rPr>
      </w:pPr>
    </w:p>
    <w:p w:rsidR="004647C0" w:rsidRPr="009472AD" w:rsidRDefault="004647C0" w:rsidP="004647C0">
      <w:pPr>
        <w:pStyle w:val="Brdtext"/>
        <w:spacing w:after="0"/>
        <w:rPr>
          <w:sz w:val="24"/>
          <w:szCs w:val="24"/>
        </w:rPr>
      </w:pPr>
      <w:r w:rsidRPr="009472AD">
        <w:rPr>
          <w:sz w:val="24"/>
          <w:szCs w:val="24"/>
        </w:rPr>
        <w:t>Barn med shunt också kan drabbas av meningit av luftvägs-</w:t>
      </w:r>
      <w:proofErr w:type="spellStart"/>
      <w:r w:rsidRPr="009472AD">
        <w:rPr>
          <w:sz w:val="24"/>
          <w:szCs w:val="24"/>
        </w:rPr>
        <w:t>patogener</w:t>
      </w:r>
      <w:proofErr w:type="spellEnd"/>
      <w:r w:rsidRPr="009472AD">
        <w:rPr>
          <w:sz w:val="24"/>
          <w:szCs w:val="24"/>
        </w:rPr>
        <w:t xml:space="preserve"> eller tarmbak</w:t>
      </w:r>
      <w:r w:rsidRPr="009472AD">
        <w:rPr>
          <w:sz w:val="24"/>
          <w:szCs w:val="24"/>
        </w:rPr>
        <w:softHyphen/>
        <w:t>terier och har då “klassisk” akut symtomatologi men dessutom peritonit och/eller sepsis!</w:t>
      </w:r>
    </w:p>
    <w:p w:rsidR="004647C0" w:rsidRDefault="004647C0" w:rsidP="004647C0">
      <w:pPr>
        <w:pStyle w:val="Brdtext"/>
        <w:spacing w:after="0"/>
        <w:rPr>
          <w:b/>
          <w:sz w:val="24"/>
          <w:szCs w:val="24"/>
        </w:rPr>
      </w:pPr>
    </w:p>
    <w:p w:rsidR="004647C0" w:rsidRDefault="004647C0" w:rsidP="004647C0">
      <w:pPr>
        <w:pStyle w:val="Brdtext"/>
        <w:spacing w:after="0"/>
        <w:rPr>
          <w:b/>
          <w:sz w:val="28"/>
          <w:szCs w:val="28"/>
        </w:rPr>
      </w:pPr>
      <w:r w:rsidRPr="007671EB">
        <w:rPr>
          <w:b/>
          <w:sz w:val="28"/>
          <w:szCs w:val="28"/>
        </w:rPr>
        <w:t>Shuntöverfunktion</w:t>
      </w:r>
    </w:p>
    <w:p w:rsidR="004647C0" w:rsidRDefault="004647C0" w:rsidP="004647C0">
      <w:pPr>
        <w:pStyle w:val="Brdtext"/>
        <w:spacing w:after="0"/>
        <w:rPr>
          <w:b/>
          <w:sz w:val="28"/>
          <w:szCs w:val="28"/>
        </w:rPr>
      </w:pPr>
    </w:p>
    <w:p w:rsidR="004647C0" w:rsidRPr="007671EB" w:rsidRDefault="004647C0" w:rsidP="004647C0">
      <w:pPr>
        <w:pStyle w:val="Brdtext"/>
        <w:spacing w:after="0"/>
        <w:rPr>
          <w:i/>
          <w:sz w:val="24"/>
          <w:szCs w:val="24"/>
        </w:rPr>
      </w:pPr>
      <w:r>
        <w:rPr>
          <w:sz w:val="24"/>
          <w:szCs w:val="24"/>
        </w:rPr>
        <w:t xml:space="preserve">Ibland kan shunten dränera för mycket cerebrospinalvätska och symtom på överdränering kan då uppstå. Typiska symtom är ansträngningsutlöst huvudvärk, huvudvärk på kvällen samt tilltagande uttröttbarhet. Vid misstanke om överdränering bör shuntinställningen kontrolleras och </w:t>
      </w:r>
      <w:proofErr w:type="spellStart"/>
      <w:r>
        <w:rPr>
          <w:sz w:val="24"/>
          <w:szCs w:val="24"/>
        </w:rPr>
        <w:t>ev</w:t>
      </w:r>
      <w:proofErr w:type="spellEnd"/>
      <w:r>
        <w:rPr>
          <w:sz w:val="24"/>
          <w:szCs w:val="24"/>
        </w:rPr>
        <w:t xml:space="preserve"> datortomografi utföras. Överdränering är i sig inte farligt men på sikt kan den öka risk för </w:t>
      </w:r>
      <w:proofErr w:type="spellStart"/>
      <w:r>
        <w:rPr>
          <w:sz w:val="24"/>
          <w:szCs w:val="24"/>
        </w:rPr>
        <w:t>subduralhematom</w:t>
      </w:r>
      <w:proofErr w:type="spellEnd"/>
      <w:r>
        <w:rPr>
          <w:sz w:val="24"/>
          <w:szCs w:val="24"/>
        </w:rPr>
        <w:t xml:space="preserve"> och dålig skalltillväxt.</w:t>
      </w:r>
    </w:p>
    <w:p w:rsidR="004647C0" w:rsidRPr="00045A00" w:rsidRDefault="004647C0" w:rsidP="004647C0">
      <w:pPr>
        <w:pStyle w:val="Brdtext"/>
        <w:spacing w:after="0"/>
        <w:rPr>
          <w:sz w:val="24"/>
          <w:szCs w:val="24"/>
        </w:rPr>
      </w:pPr>
      <w:bookmarkStart w:id="4" w:name="_Toc369604414"/>
    </w:p>
    <w:p w:rsidR="004647C0" w:rsidRDefault="004647C0" w:rsidP="004647C0">
      <w:pPr>
        <w:pStyle w:val="Rubrik2"/>
        <w:ind w:left="0"/>
        <w:rPr>
          <w:bCs w:val="0"/>
          <w:sz w:val="28"/>
        </w:rPr>
      </w:pPr>
      <w:r w:rsidRPr="00F96F55">
        <w:rPr>
          <w:bCs w:val="0"/>
          <w:sz w:val="28"/>
        </w:rPr>
        <w:t>Åtgärd</w:t>
      </w:r>
      <w:bookmarkEnd w:id="4"/>
    </w:p>
    <w:p w:rsidR="004647C0" w:rsidRPr="007671EB" w:rsidRDefault="004647C0" w:rsidP="004647C0">
      <w:pPr>
        <w:pStyle w:val="KuRapportBrdtextindrag"/>
      </w:pPr>
    </w:p>
    <w:p w:rsidR="004647C0" w:rsidRPr="00045A00" w:rsidRDefault="004647C0" w:rsidP="004647C0">
      <w:pPr>
        <w:pStyle w:val="Brdtext"/>
        <w:spacing w:after="0"/>
        <w:rPr>
          <w:sz w:val="24"/>
          <w:szCs w:val="24"/>
        </w:rPr>
      </w:pPr>
      <w:r w:rsidRPr="00045A00">
        <w:rPr>
          <w:b/>
          <w:sz w:val="24"/>
          <w:szCs w:val="24"/>
        </w:rPr>
        <w:t>Barn med shunt skall alltid bedömas akut</w:t>
      </w:r>
      <w:r w:rsidRPr="00045A00">
        <w:rPr>
          <w:sz w:val="24"/>
          <w:szCs w:val="24"/>
        </w:rPr>
        <w:t>, vid misstanke om shunt</w:t>
      </w:r>
      <w:r w:rsidRPr="00045A00">
        <w:rPr>
          <w:sz w:val="24"/>
          <w:szCs w:val="24"/>
        </w:rPr>
        <w:softHyphen/>
        <w:t>dys</w:t>
      </w:r>
      <w:r w:rsidRPr="00045A00">
        <w:rPr>
          <w:sz w:val="24"/>
          <w:szCs w:val="24"/>
        </w:rPr>
        <w:softHyphen/>
        <w:t xml:space="preserve">funktion bör akut datortomografiundersökning av hjärnan övervägas. </w:t>
      </w:r>
      <w:r w:rsidRPr="00045A00">
        <w:rPr>
          <w:b/>
          <w:bCs/>
          <w:sz w:val="24"/>
          <w:szCs w:val="24"/>
        </w:rPr>
        <w:t>Var liberal med inläggning</w:t>
      </w:r>
      <w:r w:rsidRPr="00045A00">
        <w:rPr>
          <w:sz w:val="24"/>
          <w:szCs w:val="24"/>
        </w:rPr>
        <w:t xml:space="preserve"> om CRP är förhöjt eller shuntdysfunktion ej helt kan uteslutas även om datortomografiundersökningen ej stödjer misstanken. </w:t>
      </w:r>
    </w:p>
    <w:p w:rsidR="004647C0" w:rsidRPr="00045A00" w:rsidRDefault="004647C0" w:rsidP="004647C0">
      <w:pPr>
        <w:pStyle w:val="Brdtext"/>
        <w:spacing w:after="0"/>
        <w:rPr>
          <w:sz w:val="24"/>
          <w:szCs w:val="24"/>
        </w:rPr>
      </w:pPr>
    </w:p>
    <w:p w:rsidR="004647C0" w:rsidRPr="00045A00" w:rsidRDefault="004647C0" w:rsidP="004647C0">
      <w:pPr>
        <w:pStyle w:val="Brdtext"/>
        <w:spacing w:after="0"/>
        <w:rPr>
          <w:b/>
          <w:sz w:val="24"/>
          <w:szCs w:val="24"/>
        </w:rPr>
      </w:pPr>
      <w:r w:rsidRPr="00045A00">
        <w:rPr>
          <w:b/>
          <w:sz w:val="24"/>
          <w:szCs w:val="24"/>
        </w:rPr>
        <w:t xml:space="preserve">Vid svåra symtom/misstanke om akut shuntstopp skall Neurokirurgen KS konsulteras direkt, således före eventuell provtagning, röntgen etc. I första hand kontaktas neurokirurgjouren,  </w:t>
      </w:r>
      <w:proofErr w:type="spellStart"/>
      <w:r>
        <w:rPr>
          <w:b/>
          <w:sz w:val="24"/>
          <w:szCs w:val="24"/>
        </w:rPr>
        <w:t>u</w:t>
      </w:r>
      <w:r w:rsidRPr="00045A00">
        <w:rPr>
          <w:b/>
          <w:sz w:val="24"/>
          <w:szCs w:val="24"/>
        </w:rPr>
        <w:t>tel</w:t>
      </w:r>
      <w:proofErr w:type="spellEnd"/>
      <w:r w:rsidRPr="00045A00">
        <w:rPr>
          <w:b/>
          <w:sz w:val="24"/>
          <w:szCs w:val="24"/>
        </w:rPr>
        <w:t>. 71502.</w:t>
      </w:r>
    </w:p>
    <w:p w:rsidR="00730505" w:rsidRDefault="00730505">
      <w:pPr>
        <w:widowControl/>
        <w:rPr>
          <w:b/>
          <w:sz w:val="28"/>
          <w:szCs w:val="28"/>
        </w:rPr>
      </w:pPr>
    </w:p>
    <w:p w:rsidR="00F96F55" w:rsidRDefault="00F96F55">
      <w:pPr>
        <w:widowControl/>
        <w:rPr>
          <w:b/>
          <w:sz w:val="28"/>
          <w:szCs w:val="28"/>
        </w:rPr>
      </w:pPr>
    </w:p>
    <w:p w:rsidR="00F96F55" w:rsidRDefault="00F96F55">
      <w:pPr>
        <w:widowControl/>
        <w:rPr>
          <w:b/>
          <w:sz w:val="28"/>
          <w:szCs w:val="28"/>
        </w:rPr>
      </w:pPr>
    </w:p>
    <w:p w:rsidR="004647C0" w:rsidRDefault="004647C0">
      <w:pPr>
        <w:widowControl/>
        <w:rPr>
          <w:b/>
          <w:sz w:val="28"/>
          <w:szCs w:val="28"/>
        </w:rPr>
      </w:pPr>
    </w:p>
    <w:p w:rsidR="004647C0" w:rsidRDefault="004647C0">
      <w:pPr>
        <w:widowControl/>
        <w:rPr>
          <w:b/>
          <w:sz w:val="28"/>
          <w:szCs w:val="28"/>
        </w:rPr>
      </w:pPr>
    </w:p>
    <w:p w:rsidR="004647C0" w:rsidRDefault="004647C0">
      <w:pPr>
        <w:widowControl/>
        <w:rPr>
          <w:b/>
          <w:sz w:val="28"/>
          <w:szCs w:val="28"/>
        </w:rPr>
      </w:pPr>
    </w:p>
    <w:p w:rsidR="004647C0" w:rsidRDefault="004647C0">
      <w:pPr>
        <w:widowControl/>
        <w:rPr>
          <w:b/>
          <w:sz w:val="28"/>
          <w:szCs w:val="28"/>
        </w:rPr>
      </w:pPr>
    </w:p>
    <w:p w:rsidR="00F96F55" w:rsidRPr="00F96F55" w:rsidRDefault="00F96F55">
      <w:pPr>
        <w:widowControl/>
        <w:rPr>
          <w:b/>
          <w:sz w:val="32"/>
          <w:szCs w:val="32"/>
        </w:rPr>
      </w:pPr>
    </w:p>
    <w:p w:rsidR="0073674B" w:rsidRDefault="001504AB">
      <w:pPr>
        <w:widowControl/>
        <w:rPr>
          <w:b/>
          <w:sz w:val="28"/>
          <w:szCs w:val="28"/>
        </w:rPr>
      </w:pPr>
      <w:r>
        <w:rPr>
          <w:b/>
          <w:sz w:val="28"/>
          <w:szCs w:val="28"/>
        </w:rPr>
        <w:lastRenderedPageBreak/>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4647C0" w:rsidP="00767522">
            <w:r>
              <w:t>4</w:t>
            </w:r>
          </w:p>
        </w:tc>
        <w:tc>
          <w:tcPr>
            <w:tcW w:w="1418" w:type="dxa"/>
          </w:tcPr>
          <w:p w:rsidR="0073674B" w:rsidRPr="0073674B" w:rsidRDefault="004647C0" w:rsidP="00767522">
            <w:r>
              <w:t>20190507</w:t>
            </w:r>
          </w:p>
        </w:tc>
        <w:tc>
          <w:tcPr>
            <w:tcW w:w="4248" w:type="dxa"/>
          </w:tcPr>
          <w:p w:rsidR="0073674B" w:rsidRPr="0073674B" w:rsidRDefault="004647C0" w:rsidP="00767522">
            <w:r>
              <w:t>Uppdaterat</w:t>
            </w:r>
          </w:p>
        </w:tc>
        <w:tc>
          <w:tcPr>
            <w:tcW w:w="2303" w:type="dxa"/>
          </w:tcPr>
          <w:p w:rsidR="0073674B" w:rsidRPr="0073674B" w:rsidRDefault="004647C0" w:rsidP="00767522">
            <w:r>
              <w:t xml:space="preserve">Anna </w:t>
            </w:r>
            <w:proofErr w:type="spellStart"/>
            <w:r>
              <w:t>Ekesbo</w:t>
            </w:r>
            <w:proofErr w:type="spellEnd"/>
            <w:r>
              <w:t xml:space="preserve"> </w:t>
            </w:r>
            <w:proofErr w:type="spellStart"/>
            <w:r>
              <w:t>Freisinger</w:t>
            </w:r>
            <w:proofErr w:type="spellEnd"/>
          </w:p>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7"/>
      <w:footerReference w:type="default" r:id="rId8"/>
      <w:headerReference w:type="first" r:id="rId9"/>
      <w:footerReference w:type="first" r:id="rId10"/>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7B4" w:rsidRDefault="009D17B4" w:rsidP="00F47081">
      <w:r>
        <w:separator/>
      </w:r>
    </w:p>
  </w:endnote>
  <w:endnote w:type="continuationSeparator" w:id="0">
    <w:p w:rsidR="009D17B4" w:rsidRDefault="009D17B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105AA5" w:rsidP="005C7C25">
          <w:pPr>
            <w:tabs>
              <w:tab w:val="left" w:pos="5010"/>
              <w:tab w:val="left" w:pos="6663"/>
            </w:tabs>
            <w:rPr>
              <w:rFonts w:asciiTheme="minorHAnsi" w:hAnsiTheme="minorHAnsi"/>
              <w:sz w:val="16"/>
              <w:szCs w:val="16"/>
            </w:rPr>
          </w:pPr>
          <w:bookmarkStart w:id="8" w:name="handläggare_sf"/>
          <w:r>
            <w:rPr>
              <w:rFonts w:asciiTheme="minorHAnsi" w:hAnsiTheme="minorHAnsi"/>
              <w:sz w:val="16"/>
              <w:szCs w:val="16"/>
            </w:rPr>
            <w:t>Ulrika Sandvik/Karolinska/</w:t>
          </w:r>
          <w:proofErr w:type="spellStart"/>
          <w:r>
            <w:rPr>
              <w:rFonts w:asciiTheme="minorHAnsi" w:hAnsiTheme="minorHAnsi"/>
              <w:sz w:val="16"/>
              <w:szCs w:val="16"/>
            </w:rPr>
            <w:t>SLL;Ulrika</w:t>
          </w:r>
          <w:proofErr w:type="spellEnd"/>
          <w:r>
            <w:rPr>
              <w:rFonts w:asciiTheme="minorHAnsi" w:hAnsiTheme="minorHAnsi"/>
              <w:sz w:val="16"/>
              <w:szCs w:val="16"/>
            </w:rPr>
            <w:t xml:space="preserve"> Isaksson/Karolinska/</w:t>
          </w:r>
          <w:proofErr w:type="spellStart"/>
          <w:r>
            <w:rPr>
              <w:rFonts w:asciiTheme="minorHAnsi" w:hAnsiTheme="minorHAnsi"/>
              <w:sz w:val="16"/>
              <w:szCs w:val="16"/>
            </w:rPr>
            <w:t>SLL;Christina</w:t>
          </w:r>
          <w:proofErr w:type="spellEnd"/>
          <w:r>
            <w:rPr>
              <w:rFonts w:asciiTheme="minorHAnsi" w:hAnsiTheme="minorHAnsi"/>
              <w:sz w:val="16"/>
              <w:szCs w:val="16"/>
            </w:rPr>
            <w:t xml:space="preserve"> Björk/Karolinska/SLL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105AA5" w:rsidP="005C7C25">
          <w:pPr>
            <w:tabs>
              <w:tab w:val="left" w:pos="5010"/>
              <w:tab w:val="left" w:pos="6663"/>
            </w:tabs>
            <w:rPr>
              <w:rFonts w:asciiTheme="minorHAnsi" w:hAnsiTheme="minorHAnsi"/>
              <w:sz w:val="16"/>
              <w:szCs w:val="16"/>
            </w:rPr>
          </w:pPr>
          <w:bookmarkStart w:id="9" w:name="dokumentnr_sf"/>
          <w:bookmarkStart w:id="10" w:name="löpnummer_sf"/>
          <w:bookmarkEnd w:id="9"/>
          <w:r>
            <w:rPr>
              <w:rFonts w:asciiTheme="minorHAnsi" w:hAnsiTheme="minorHAnsi"/>
              <w:sz w:val="16"/>
              <w:szCs w:val="16"/>
            </w:rPr>
            <w:t>Kar1-1225</w:t>
          </w:r>
          <w:bookmarkEnd w:id="10"/>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105AA5" w:rsidP="005C7C25">
          <w:pPr>
            <w:tabs>
              <w:tab w:val="left" w:pos="5010"/>
              <w:tab w:val="left" w:pos="6663"/>
            </w:tabs>
            <w:rPr>
              <w:rFonts w:asciiTheme="minorHAnsi" w:hAnsiTheme="minorHAnsi"/>
              <w:sz w:val="16"/>
              <w:szCs w:val="16"/>
            </w:rPr>
          </w:pPr>
          <w:bookmarkStart w:id="11" w:name="fastställare_sf"/>
          <w:r>
            <w:rPr>
              <w:rFonts w:asciiTheme="minorHAnsi" w:hAnsiTheme="minorHAnsi"/>
              <w:sz w:val="16"/>
              <w:szCs w:val="16"/>
            </w:rPr>
            <w:t>Ronny Wickström/Karolinska/SLL</w:t>
          </w:r>
          <w:bookmarkEnd w:id="11"/>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105AA5" w:rsidP="005C7C25">
          <w:pPr>
            <w:tabs>
              <w:tab w:val="left" w:pos="5010"/>
              <w:tab w:val="left" w:pos="6663"/>
            </w:tabs>
            <w:rPr>
              <w:rFonts w:asciiTheme="minorHAnsi" w:hAnsiTheme="minorHAnsi"/>
              <w:sz w:val="16"/>
              <w:szCs w:val="16"/>
            </w:rPr>
          </w:pPr>
          <w:bookmarkStart w:id="12" w:name="version_sf"/>
          <w:r>
            <w:rPr>
              <w:rFonts w:asciiTheme="minorHAnsi" w:hAnsiTheme="minorHAnsi"/>
              <w:sz w:val="16"/>
              <w:szCs w:val="16"/>
            </w:rPr>
            <w:t>4</w:t>
          </w:r>
          <w:bookmarkEnd w:id="12"/>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3" w:name="organisation_sf"/>
          <w:bookmarkEnd w:id="13"/>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105AA5" w:rsidP="00E8302B">
          <w:pPr>
            <w:tabs>
              <w:tab w:val="left" w:pos="5010"/>
              <w:tab w:val="left" w:pos="6663"/>
            </w:tabs>
            <w:rPr>
              <w:rFonts w:asciiTheme="minorHAnsi" w:hAnsiTheme="minorHAnsi"/>
              <w:sz w:val="16"/>
              <w:szCs w:val="16"/>
            </w:rPr>
          </w:pPr>
          <w:bookmarkStart w:id="14" w:name="giltigdatum_sf"/>
          <w:r>
            <w:rPr>
              <w:rFonts w:asciiTheme="minorHAnsi" w:hAnsiTheme="minorHAnsi"/>
              <w:sz w:val="16"/>
              <w:szCs w:val="16"/>
            </w:rPr>
            <w:t>2019-05-25</w:t>
          </w:r>
          <w:bookmarkEnd w:id="14"/>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3F4B13"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105AA5">
            <w:rPr>
              <w:rFonts w:asciiTheme="minorHAnsi" w:hAnsiTheme="minorHAnsi"/>
              <w:noProof/>
              <w:sz w:val="16"/>
              <w:szCs w:val="16"/>
            </w:rPr>
            <w:t>2019-05-25</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105AA5">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105AA5" w:rsidP="005C7C25">
          <w:pPr>
            <w:tabs>
              <w:tab w:val="left" w:pos="5010"/>
              <w:tab w:val="left" w:pos="6663"/>
            </w:tabs>
            <w:rPr>
              <w:rFonts w:asciiTheme="minorHAnsi" w:hAnsiTheme="minorHAnsi"/>
              <w:sz w:val="16"/>
              <w:szCs w:val="16"/>
            </w:rPr>
          </w:pPr>
          <w:bookmarkStart w:id="18" w:name="handläggare"/>
          <w:r>
            <w:rPr>
              <w:rFonts w:asciiTheme="minorHAnsi" w:hAnsiTheme="minorHAnsi"/>
              <w:sz w:val="16"/>
              <w:szCs w:val="16"/>
            </w:rPr>
            <w:t>Ulrika Sandvik/Karolinska/</w:t>
          </w:r>
          <w:proofErr w:type="spellStart"/>
          <w:r>
            <w:rPr>
              <w:rFonts w:asciiTheme="minorHAnsi" w:hAnsiTheme="minorHAnsi"/>
              <w:sz w:val="16"/>
              <w:szCs w:val="16"/>
            </w:rPr>
            <w:t>SLL;Ulrika</w:t>
          </w:r>
          <w:proofErr w:type="spellEnd"/>
          <w:r>
            <w:rPr>
              <w:rFonts w:asciiTheme="minorHAnsi" w:hAnsiTheme="minorHAnsi"/>
              <w:sz w:val="16"/>
              <w:szCs w:val="16"/>
            </w:rPr>
            <w:t xml:space="preserve"> Isaksson/Karolinska/</w:t>
          </w:r>
          <w:proofErr w:type="spellStart"/>
          <w:r>
            <w:rPr>
              <w:rFonts w:asciiTheme="minorHAnsi" w:hAnsiTheme="minorHAnsi"/>
              <w:sz w:val="16"/>
              <w:szCs w:val="16"/>
            </w:rPr>
            <w:t>SLL;Christina</w:t>
          </w:r>
          <w:proofErr w:type="spellEnd"/>
          <w:r>
            <w:rPr>
              <w:rFonts w:asciiTheme="minorHAnsi" w:hAnsiTheme="minorHAnsi"/>
              <w:sz w:val="16"/>
              <w:szCs w:val="16"/>
            </w:rPr>
            <w:t xml:space="preserve"> Björk/Karolinska/SLL</w:t>
          </w:r>
          <w:bookmarkEnd w:id="18"/>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105AA5" w:rsidP="00BD7647">
          <w:pPr>
            <w:tabs>
              <w:tab w:val="left" w:pos="5010"/>
              <w:tab w:val="left" w:pos="6663"/>
            </w:tabs>
            <w:rPr>
              <w:rFonts w:asciiTheme="minorHAnsi" w:hAnsiTheme="minorHAnsi"/>
              <w:sz w:val="16"/>
              <w:szCs w:val="16"/>
            </w:rPr>
          </w:pPr>
          <w:bookmarkStart w:id="19" w:name="löpnummer"/>
          <w:r>
            <w:rPr>
              <w:rFonts w:asciiTheme="minorHAnsi" w:hAnsiTheme="minorHAnsi"/>
              <w:sz w:val="16"/>
              <w:szCs w:val="16"/>
            </w:rPr>
            <w:t>Kar1-1225</w:t>
          </w:r>
          <w:bookmarkEnd w:id="19"/>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105AA5" w:rsidP="005C7C25">
          <w:pPr>
            <w:tabs>
              <w:tab w:val="left" w:pos="5010"/>
              <w:tab w:val="left" w:pos="6663"/>
            </w:tabs>
            <w:rPr>
              <w:rFonts w:asciiTheme="minorHAnsi" w:hAnsiTheme="minorHAnsi"/>
              <w:sz w:val="16"/>
              <w:szCs w:val="16"/>
            </w:rPr>
          </w:pPr>
          <w:bookmarkStart w:id="20" w:name="fastställare"/>
          <w:r>
            <w:rPr>
              <w:rFonts w:asciiTheme="minorHAnsi" w:hAnsiTheme="minorHAnsi"/>
              <w:sz w:val="16"/>
              <w:szCs w:val="16"/>
            </w:rPr>
            <w:t>Ronny Wickström/Karolinska/SLL</w:t>
          </w:r>
          <w:bookmarkEnd w:id="20"/>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105AA5" w:rsidP="00BD7647">
          <w:pPr>
            <w:tabs>
              <w:tab w:val="left" w:pos="5010"/>
              <w:tab w:val="left" w:pos="6663"/>
            </w:tabs>
            <w:rPr>
              <w:rFonts w:asciiTheme="minorHAnsi" w:hAnsiTheme="minorHAnsi"/>
              <w:sz w:val="16"/>
              <w:szCs w:val="16"/>
            </w:rPr>
          </w:pPr>
          <w:bookmarkStart w:id="21" w:name="version"/>
          <w:r>
            <w:rPr>
              <w:rFonts w:asciiTheme="minorHAnsi" w:hAnsiTheme="minorHAnsi"/>
              <w:sz w:val="16"/>
              <w:szCs w:val="16"/>
            </w:rPr>
            <w:t>4</w:t>
          </w:r>
          <w:bookmarkEnd w:id="21"/>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22" w:name="Organisation"/>
          <w:bookmarkEnd w:id="22"/>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105AA5" w:rsidP="005C7C25">
          <w:pPr>
            <w:tabs>
              <w:tab w:val="left" w:pos="5010"/>
              <w:tab w:val="left" w:pos="6663"/>
            </w:tabs>
            <w:rPr>
              <w:rFonts w:asciiTheme="minorHAnsi" w:hAnsiTheme="minorHAnsi"/>
              <w:sz w:val="16"/>
              <w:szCs w:val="16"/>
            </w:rPr>
          </w:pPr>
          <w:bookmarkStart w:id="23" w:name="giltigdatum"/>
          <w:r>
            <w:rPr>
              <w:rFonts w:asciiTheme="minorHAnsi" w:hAnsiTheme="minorHAnsi"/>
              <w:sz w:val="16"/>
              <w:szCs w:val="16"/>
            </w:rPr>
            <w:t>2019-05-25</w:t>
          </w:r>
          <w:bookmarkEnd w:id="23"/>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3F4B13"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105AA5">
            <w:rPr>
              <w:rFonts w:asciiTheme="minorHAnsi" w:hAnsiTheme="minorHAnsi"/>
              <w:noProof/>
              <w:sz w:val="16"/>
              <w:szCs w:val="16"/>
            </w:rPr>
            <w:t>2019-05-25</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105AA5">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7B4" w:rsidRDefault="009D17B4" w:rsidP="00F47081">
      <w:r>
        <w:separator/>
      </w:r>
    </w:p>
  </w:footnote>
  <w:footnote w:type="continuationSeparator" w:id="0">
    <w:p w:rsidR="009D17B4" w:rsidRDefault="009D17B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105AA5" w:rsidP="0000601D">
          <w:pPr>
            <w:tabs>
              <w:tab w:val="left" w:pos="5010"/>
              <w:tab w:val="left" w:pos="6663"/>
            </w:tabs>
            <w:rPr>
              <w:rFonts w:asciiTheme="minorHAnsi" w:hAnsiTheme="minorHAnsi"/>
            </w:rPr>
          </w:pPr>
          <w:bookmarkStart w:id="5" w:name="Dokumenttyp_sf"/>
          <w:r>
            <w:rPr>
              <w:rFonts w:asciiTheme="minorHAnsi" w:hAnsiTheme="minorHAnsi"/>
            </w:rPr>
            <w:t>Styrande lokalt dokument</w:t>
          </w:r>
          <w:bookmarkEnd w:id="5"/>
        </w:p>
      </w:tc>
      <w:tc>
        <w:tcPr>
          <w:tcW w:w="1346" w:type="dxa"/>
        </w:tcPr>
        <w:p w:rsidR="001C5ECA" w:rsidRPr="00123992" w:rsidRDefault="003F4B13"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70CB7">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FD0389">
            <w:rPr>
              <w:rFonts w:asciiTheme="minorHAnsi" w:hAnsiTheme="minorHAnsi"/>
              <w:noProof/>
            </w:rPr>
            <w:fldChar w:fldCharType="begin"/>
          </w:r>
          <w:r w:rsidR="00FD0389">
            <w:rPr>
              <w:rFonts w:asciiTheme="minorHAnsi" w:hAnsiTheme="minorHAnsi"/>
              <w:noProof/>
            </w:rPr>
            <w:instrText xml:space="preserve"> NUMPAGES  \* MERGEFORMAT </w:instrText>
          </w:r>
          <w:r w:rsidR="00FD0389">
            <w:rPr>
              <w:rFonts w:asciiTheme="minorHAnsi" w:hAnsiTheme="minorHAnsi"/>
              <w:noProof/>
            </w:rPr>
            <w:fldChar w:fldCharType="separate"/>
          </w:r>
          <w:r w:rsidR="00070CB7" w:rsidRPr="00070CB7">
            <w:rPr>
              <w:rFonts w:asciiTheme="minorHAnsi" w:hAnsiTheme="minorHAnsi"/>
              <w:noProof/>
            </w:rPr>
            <w:t>2</w:t>
          </w:r>
          <w:r w:rsidR="00FD0389">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070CB7">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6" w:name="status_sf"/>
          <w:r w:rsidR="00105AA5">
            <w:rPr>
              <w:rFonts w:asciiTheme="minorHAnsi" w:hAnsiTheme="minorHAnsi"/>
              <w:sz w:val="20"/>
              <w:szCs w:val="20"/>
            </w:rPr>
            <w:t>gällande</w:t>
          </w:r>
          <w:bookmarkEnd w:id="6"/>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7" w:name="arkiverat_sf"/>
          <w:bookmarkEnd w:id="7"/>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105AA5" w:rsidP="00773423">
          <w:pPr>
            <w:tabs>
              <w:tab w:val="left" w:pos="5010"/>
              <w:tab w:val="left" w:pos="6663"/>
            </w:tabs>
            <w:rPr>
              <w:rFonts w:asciiTheme="minorHAnsi" w:hAnsiTheme="minorHAnsi"/>
            </w:rPr>
          </w:pPr>
          <w:bookmarkStart w:id="15" w:name="Dokumenttyp"/>
          <w:r>
            <w:rPr>
              <w:rFonts w:asciiTheme="minorHAnsi" w:hAnsiTheme="minorHAnsi"/>
            </w:rPr>
            <w:t>Styrande lokalt dokument</w:t>
          </w:r>
          <w:bookmarkEnd w:id="15"/>
        </w:p>
      </w:tc>
      <w:tc>
        <w:tcPr>
          <w:tcW w:w="1346" w:type="dxa"/>
        </w:tcPr>
        <w:p w:rsidR="00363F7D" w:rsidRPr="00123992" w:rsidRDefault="003F4B13"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70CB7">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FD0389">
            <w:rPr>
              <w:rFonts w:asciiTheme="minorHAnsi" w:hAnsiTheme="minorHAnsi"/>
              <w:noProof/>
            </w:rPr>
            <w:fldChar w:fldCharType="begin"/>
          </w:r>
          <w:r w:rsidR="00FD0389">
            <w:rPr>
              <w:rFonts w:asciiTheme="minorHAnsi" w:hAnsiTheme="minorHAnsi"/>
              <w:noProof/>
            </w:rPr>
            <w:instrText xml:space="preserve"> NUMPAGES  \* MERGEFORMAT </w:instrText>
          </w:r>
          <w:r w:rsidR="00FD0389">
            <w:rPr>
              <w:rFonts w:asciiTheme="minorHAnsi" w:hAnsiTheme="minorHAnsi"/>
              <w:noProof/>
            </w:rPr>
            <w:fldChar w:fldCharType="separate"/>
          </w:r>
          <w:r w:rsidR="00070CB7" w:rsidRPr="00070CB7">
            <w:rPr>
              <w:rFonts w:asciiTheme="minorHAnsi" w:hAnsiTheme="minorHAnsi"/>
              <w:noProof/>
            </w:rPr>
            <w:t>2</w:t>
          </w:r>
          <w:r w:rsidR="00FD0389">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070CB7">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6" w:name="status"/>
          <w:r w:rsidR="00105AA5">
            <w:rPr>
              <w:rFonts w:asciiTheme="minorHAnsi" w:hAnsiTheme="minorHAnsi"/>
              <w:sz w:val="20"/>
              <w:szCs w:val="20"/>
            </w:rPr>
            <w:t>gällande</w:t>
          </w:r>
          <w:bookmarkEnd w:id="16"/>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7" w:name="arkiverat"/>
          <w:bookmarkEnd w:id="17"/>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0CB7"/>
    <w:rsid w:val="00072B78"/>
    <w:rsid w:val="00072F71"/>
    <w:rsid w:val="00080A88"/>
    <w:rsid w:val="00090B26"/>
    <w:rsid w:val="00097170"/>
    <w:rsid w:val="000A6A10"/>
    <w:rsid w:val="000B17EC"/>
    <w:rsid w:val="000B4D3D"/>
    <w:rsid w:val="000C04C7"/>
    <w:rsid w:val="000C258D"/>
    <w:rsid w:val="000D4E47"/>
    <w:rsid w:val="000E3AC9"/>
    <w:rsid w:val="000F3530"/>
    <w:rsid w:val="000F4D65"/>
    <w:rsid w:val="00100FDC"/>
    <w:rsid w:val="00101E13"/>
    <w:rsid w:val="00105AA5"/>
    <w:rsid w:val="001101F1"/>
    <w:rsid w:val="00123992"/>
    <w:rsid w:val="001504AB"/>
    <w:rsid w:val="001516CD"/>
    <w:rsid w:val="00167279"/>
    <w:rsid w:val="00191D8A"/>
    <w:rsid w:val="0019376C"/>
    <w:rsid w:val="001A1351"/>
    <w:rsid w:val="001C1BBD"/>
    <w:rsid w:val="001C3913"/>
    <w:rsid w:val="001C5ECA"/>
    <w:rsid w:val="001C71C5"/>
    <w:rsid w:val="001C7322"/>
    <w:rsid w:val="001D0E4E"/>
    <w:rsid w:val="001E2505"/>
    <w:rsid w:val="001E6A21"/>
    <w:rsid w:val="001F232D"/>
    <w:rsid w:val="001F2B1C"/>
    <w:rsid w:val="00203C93"/>
    <w:rsid w:val="0020562C"/>
    <w:rsid w:val="00233A25"/>
    <w:rsid w:val="00235B0D"/>
    <w:rsid w:val="002769F1"/>
    <w:rsid w:val="002C1CF4"/>
    <w:rsid w:val="002C4C2A"/>
    <w:rsid w:val="002C4EDA"/>
    <w:rsid w:val="002C574A"/>
    <w:rsid w:val="002C57F8"/>
    <w:rsid w:val="002F6D2D"/>
    <w:rsid w:val="00323C05"/>
    <w:rsid w:val="0033668A"/>
    <w:rsid w:val="00341F24"/>
    <w:rsid w:val="003539AA"/>
    <w:rsid w:val="00356E00"/>
    <w:rsid w:val="00363F7D"/>
    <w:rsid w:val="00376CF2"/>
    <w:rsid w:val="00387B6B"/>
    <w:rsid w:val="003A4E38"/>
    <w:rsid w:val="003A5662"/>
    <w:rsid w:val="003B131D"/>
    <w:rsid w:val="003C230B"/>
    <w:rsid w:val="003C7DDC"/>
    <w:rsid w:val="003D3D1C"/>
    <w:rsid w:val="003F4B13"/>
    <w:rsid w:val="003F5240"/>
    <w:rsid w:val="003F7062"/>
    <w:rsid w:val="004042DC"/>
    <w:rsid w:val="004056C6"/>
    <w:rsid w:val="00405774"/>
    <w:rsid w:val="00405E69"/>
    <w:rsid w:val="00407F90"/>
    <w:rsid w:val="004111D2"/>
    <w:rsid w:val="00447EBD"/>
    <w:rsid w:val="00463852"/>
    <w:rsid w:val="00463CE9"/>
    <w:rsid w:val="004644A8"/>
    <w:rsid w:val="004647C0"/>
    <w:rsid w:val="00473759"/>
    <w:rsid w:val="00474607"/>
    <w:rsid w:val="004C5F7B"/>
    <w:rsid w:val="004E0843"/>
    <w:rsid w:val="00502B3C"/>
    <w:rsid w:val="00505E91"/>
    <w:rsid w:val="00510C25"/>
    <w:rsid w:val="00522CC6"/>
    <w:rsid w:val="00523EAD"/>
    <w:rsid w:val="005253BF"/>
    <w:rsid w:val="005262F7"/>
    <w:rsid w:val="00533490"/>
    <w:rsid w:val="00536E3C"/>
    <w:rsid w:val="00541FCA"/>
    <w:rsid w:val="00543742"/>
    <w:rsid w:val="005647A8"/>
    <w:rsid w:val="00576479"/>
    <w:rsid w:val="00594B6A"/>
    <w:rsid w:val="005A75E6"/>
    <w:rsid w:val="005B04BF"/>
    <w:rsid w:val="005B4A38"/>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7161"/>
    <w:rsid w:val="0068125E"/>
    <w:rsid w:val="006A552A"/>
    <w:rsid w:val="006A79B7"/>
    <w:rsid w:val="006D2669"/>
    <w:rsid w:val="006D3EEA"/>
    <w:rsid w:val="006E318F"/>
    <w:rsid w:val="006E5CD4"/>
    <w:rsid w:val="00730505"/>
    <w:rsid w:val="007310E3"/>
    <w:rsid w:val="0073674B"/>
    <w:rsid w:val="00756427"/>
    <w:rsid w:val="00762575"/>
    <w:rsid w:val="0076688B"/>
    <w:rsid w:val="00773423"/>
    <w:rsid w:val="007825F9"/>
    <w:rsid w:val="00784D4F"/>
    <w:rsid w:val="00792109"/>
    <w:rsid w:val="007A7CD8"/>
    <w:rsid w:val="007C46E0"/>
    <w:rsid w:val="007C481A"/>
    <w:rsid w:val="00820E06"/>
    <w:rsid w:val="0083084E"/>
    <w:rsid w:val="008428DB"/>
    <w:rsid w:val="0084434C"/>
    <w:rsid w:val="008765DF"/>
    <w:rsid w:val="00877AF7"/>
    <w:rsid w:val="00887EA3"/>
    <w:rsid w:val="00893D63"/>
    <w:rsid w:val="008956CE"/>
    <w:rsid w:val="008A147E"/>
    <w:rsid w:val="008A6A48"/>
    <w:rsid w:val="008B6CB0"/>
    <w:rsid w:val="008C2B03"/>
    <w:rsid w:val="008D143D"/>
    <w:rsid w:val="008E03CB"/>
    <w:rsid w:val="008F5F42"/>
    <w:rsid w:val="00915F2E"/>
    <w:rsid w:val="00916924"/>
    <w:rsid w:val="00925545"/>
    <w:rsid w:val="00926A38"/>
    <w:rsid w:val="00946C7B"/>
    <w:rsid w:val="00947A73"/>
    <w:rsid w:val="00964350"/>
    <w:rsid w:val="0097166F"/>
    <w:rsid w:val="009954D8"/>
    <w:rsid w:val="009A0B7E"/>
    <w:rsid w:val="009A3CE5"/>
    <w:rsid w:val="009C2F30"/>
    <w:rsid w:val="009D17B4"/>
    <w:rsid w:val="009D3681"/>
    <w:rsid w:val="009D51B5"/>
    <w:rsid w:val="009E34D9"/>
    <w:rsid w:val="009E6815"/>
    <w:rsid w:val="009F03FB"/>
    <w:rsid w:val="00A1365F"/>
    <w:rsid w:val="00A50CC6"/>
    <w:rsid w:val="00A67932"/>
    <w:rsid w:val="00A80F9E"/>
    <w:rsid w:val="00A83DA6"/>
    <w:rsid w:val="00AD7B2E"/>
    <w:rsid w:val="00AE2C8C"/>
    <w:rsid w:val="00AF69EE"/>
    <w:rsid w:val="00B00F3E"/>
    <w:rsid w:val="00B2112E"/>
    <w:rsid w:val="00B22B7D"/>
    <w:rsid w:val="00B237A2"/>
    <w:rsid w:val="00B24C48"/>
    <w:rsid w:val="00B46D94"/>
    <w:rsid w:val="00B5688E"/>
    <w:rsid w:val="00B7187C"/>
    <w:rsid w:val="00B73422"/>
    <w:rsid w:val="00B7532A"/>
    <w:rsid w:val="00B81FC6"/>
    <w:rsid w:val="00B85E7F"/>
    <w:rsid w:val="00BA3DB1"/>
    <w:rsid w:val="00BB2D58"/>
    <w:rsid w:val="00BB74B1"/>
    <w:rsid w:val="00BC2905"/>
    <w:rsid w:val="00BD35AE"/>
    <w:rsid w:val="00BD7647"/>
    <w:rsid w:val="00BF186B"/>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1D17"/>
    <w:rsid w:val="00D270A5"/>
    <w:rsid w:val="00D3561B"/>
    <w:rsid w:val="00D50DA7"/>
    <w:rsid w:val="00D56B21"/>
    <w:rsid w:val="00D60013"/>
    <w:rsid w:val="00D67F3A"/>
    <w:rsid w:val="00D7790F"/>
    <w:rsid w:val="00D853A3"/>
    <w:rsid w:val="00DA4158"/>
    <w:rsid w:val="00DC15F0"/>
    <w:rsid w:val="00DE39BB"/>
    <w:rsid w:val="00DF3558"/>
    <w:rsid w:val="00DF3638"/>
    <w:rsid w:val="00DF3A5A"/>
    <w:rsid w:val="00E169EE"/>
    <w:rsid w:val="00E21228"/>
    <w:rsid w:val="00E63120"/>
    <w:rsid w:val="00E64F96"/>
    <w:rsid w:val="00E7397B"/>
    <w:rsid w:val="00E7592E"/>
    <w:rsid w:val="00E94A0B"/>
    <w:rsid w:val="00EA02AE"/>
    <w:rsid w:val="00EA6533"/>
    <w:rsid w:val="00EB626B"/>
    <w:rsid w:val="00EC6562"/>
    <w:rsid w:val="00EC6E22"/>
    <w:rsid w:val="00ED41EB"/>
    <w:rsid w:val="00EE5B69"/>
    <w:rsid w:val="00EE6DF8"/>
    <w:rsid w:val="00EF6425"/>
    <w:rsid w:val="00F0551D"/>
    <w:rsid w:val="00F055D4"/>
    <w:rsid w:val="00F11FD1"/>
    <w:rsid w:val="00F52529"/>
    <w:rsid w:val="00F62AA2"/>
    <w:rsid w:val="00F75DDD"/>
    <w:rsid w:val="00F93951"/>
    <w:rsid w:val="00F96F55"/>
    <w:rsid w:val="00FB4BA2"/>
    <w:rsid w:val="00FB7D90"/>
    <w:rsid w:val="00FD0389"/>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89269C90-3FFB-44DC-ACF9-8E213C00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xt">
    <w:name w:val="Body Text"/>
    <w:basedOn w:val="Normal"/>
    <w:link w:val="BrdtextChar"/>
    <w:rsid w:val="00F96F55"/>
    <w:pPr>
      <w:widowControl/>
      <w:spacing w:after="80"/>
    </w:pPr>
    <w:rPr>
      <w:sz w:val="22"/>
      <w:szCs w:val="20"/>
    </w:rPr>
  </w:style>
  <w:style w:type="character" w:customStyle="1" w:styleId="BrdtextChar">
    <w:name w:val="Brödtext Char"/>
    <w:basedOn w:val="Standardstycketeckensnitt"/>
    <w:link w:val="Brdtext"/>
    <w:rsid w:val="00F96F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1A964-63A7-4B23-BF8D-591D747A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B2217D40.dotm</Template>
  <TotalTime>4</TotalTime>
  <Pages>3</Pages>
  <Words>708</Words>
  <Characters>3756</Characters>
  <Application>Microsoft Office Word</Application>
  <DocSecurity>0</DocSecurity>
  <Lines>31</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 </vt:lpstr>
      <vt:lpstr>Dokumentnamn </vt:lpstr>
    </vt:vector>
  </TitlesOfParts>
  <Company>Karolinska</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Christina Björk</cp:lastModifiedBy>
  <cp:revision>6</cp:revision>
  <cp:lastPrinted>2005-03-23T12:04:00Z</cp:lastPrinted>
  <dcterms:created xsi:type="dcterms:W3CDTF">2019-05-25T18:47:00Z</dcterms:created>
  <dcterms:modified xsi:type="dcterms:W3CDTF">2019-05-25T18:53:00Z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199848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