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Amenorréutredning"/>
            </w:textInput>
          </w:ffData>
        </w:fldChar>
      </w:r>
      <w:r w:rsidR="00BA3DB1" w:rsidRPr="00BA3DB1">
        <w:instrText xml:space="preserve"> FORMTEXT </w:instrText>
      </w:r>
      <w:r w:rsidR="00F74A0E">
        <w:rPr>
          <w:lang w:val="en-US"/>
        </w:rPr>
      </w:r>
      <w:r>
        <w:rPr>
          <w:lang w:val="en-US"/>
        </w:rPr>
        <w:fldChar w:fldCharType="separate"/>
      </w:r>
      <w:r w:rsidR="00F74A0E">
        <w:rPr>
          <w:lang w:val="en-US"/>
        </w:rPr>
        <w:t>Amenorréutredning</w:t>
      </w:r>
      <w:r>
        <w:rPr>
          <w:lang w:val="en-US"/>
        </w:rPr>
        <w:fldChar w:fldCharType="end"/>
      </w:r>
      <w:bookmarkEnd w:id="0"/>
      <w:r w:rsidR="005253BF" w:rsidRPr="00BA3DB1">
        <w:t xml:space="preserve"> </w:t>
      </w:r>
    </w:p>
    <w:p w:rsidR="009D2946" w:rsidRDefault="009D2946" w:rsidP="00730505"/>
    <w:p w:rsidR="007F503A" w:rsidRDefault="007F503A" w:rsidP="007F503A">
      <w:pPr>
        <w:pStyle w:val="Rubrik1"/>
        <w:jc w:val="both"/>
      </w:pPr>
      <w:r w:rsidRPr="00166B2A">
        <w:t>Bakgrund</w:t>
      </w:r>
    </w:p>
    <w:p w:rsidR="007F503A" w:rsidRDefault="007F503A" w:rsidP="007F503A">
      <w:pPr>
        <w:spacing w:after="120"/>
        <w:jc w:val="both"/>
        <w:rPr>
          <w:color w:val="000000" w:themeColor="text1"/>
        </w:rPr>
      </w:pPr>
      <w:r w:rsidRPr="00F8513E">
        <w:t xml:space="preserve">Amenorré </w:t>
      </w:r>
      <w:r>
        <w:t xml:space="preserve">innebär </w:t>
      </w:r>
      <w:r w:rsidRPr="00F8513E">
        <w:t xml:space="preserve">menstruationsbortfall. </w:t>
      </w:r>
      <w:r w:rsidRPr="00E375A3">
        <w:rPr>
          <w:i/>
        </w:rPr>
        <w:t>Primär amenorré</w:t>
      </w:r>
      <w:r w:rsidRPr="00F8513E">
        <w:t xml:space="preserve"> betyder att</w:t>
      </w:r>
      <w:r>
        <w:t xml:space="preserve"> en patient som är 16 år eller äldre</w:t>
      </w:r>
      <w:r w:rsidRPr="00F8513E">
        <w:t xml:space="preserve"> aldrig har haft en spontan menstruation. </w:t>
      </w:r>
      <w:r w:rsidRPr="00E375A3">
        <w:rPr>
          <w:i/>
        </w:rPr>
        <w:t>Sekundär amenorré</w:t>
      </w:r>
      <w:r w:rsidRPr="00F8513E">
        <w:t xml:space="preserve"> betyder att patienten tidigare har haft menstruationer men får ett uppehåll på minst tre månader. </w:t>
      </w:r>
      <w:r>
        <w:t>Sekundär a</w:t>
      </w:r>
      <w:r w:rsidRPr="00F8513E">
        <w:t xml:space="preserve">menorré som varat längre än sex månader ska alltid utredas. </w:t>
      </w:r>
      <w:r w:rsidRPr="00F8513E">
        <w:rPr>
          <w:color w:val="000000" w:themeColor="text1"/>
        </w:rPr>
        <w:t>Anovulation kan förutom amenorré resultera i </w:t>
      </w:r>
      <w:r w:rsidRPr="00E375A3">
        <w:rPr>
          <w:i/>
          <w:iCs/>
          <w:color w:val="000000" w:themeColor="text1"/>
        </w:rPr>
        <w:t>oligomenorré</w:t>
      </w:r>
      <w:r w:rsidRPr="00F8513E">
        <w:rPr>
          <w:color w:val="000000" w:themeColor="text1"/>
        </w:rPr>
        <w:t>, vilket definieras som menstruationsintervall mellan 35 dagar och tre månader, där</w:t>
      </w:r>
      <w:r>
        <w:rPr>
          <w:color w:val="000000" w:themeColor="text1"/>
        </w:rPr>
        <w:t>utöver</w:t>
      </w:r>
      <w:r w:rsidRPr="00F8513E">
        <w:rPr>
          <w:color w:val="000000" w:themeColor="text1"/>
        </w:rPr>
        <w:t xml:space="preserve"> används begreppet</w:t>
      </w:r>
      <w:r>
        <w:rPr>
          <w:color w:val="000000" w:themeColor="text1"/>
        </w:rPr>
        <w:t xml:space="preserve"> amenorré. Utredningen av oligomenorré</w:t>
      </w:r>
      <w:r w:rsidRPr="00F8513E">
        <w:rPr>
          <w:color w:val="000000" w:themeColor="text1"/>
        </w:rPr>
        <w:t xml:space="preserve"> och </w:t>
      </w:r>
      <w:r>
        <w:rPr>
          <w:color w:val="000000" w:themeColor="text1"/>
        </w:rPr>
        <w:t xml:space="preserve">sekundär </w:t>
      </w:r>
      <w:r w:rsidRPr="00F8513E">
        <w:rPr>
          <w:color w:val="000000" w:themeColor="text1"/>
        </w:rPr>
        <w:t>amenorré är densamma. </w:t>
      </w:r>
    </w:p>
    <w:p w:rsidR="007F503A" w:rsidRDefault="007F503A" w:rsidP="007F503A">
      <w:pPr>
        <w:jc w:val="both"/>
        <w:rPr>
          <w:color w:val="000000" w:themeColor="text1"/>
        </w:rPr>
      </w:pPr>
      <w:r>
        <w:rPr>
          <w:color w:val="000000" w:themeColor="text1"/>
        </w:rPr>
        <w:t>Menstruationsbortfall</w:t>
      </w:r>
      <w:r w:rsidRPr="00F8513E">
        <w:rPr>
          <w:color w:val="000000" w:themeColor="text1"/>
        </w:rPr>
        <w:t xml:space="preserve"> är ett symtom där</w:t>
      </w:r>
      <w:r>
        <w:rPr>
          <w:color w:val="000000" w:themeColor="text1"/>
        </w:rPr>
        <w:t xml:space="preserve"> </w:t>
      </w:r>
      <w:r w:rsidRPr="00F8513E">
        <w:rPr>
          <w:color w:val="000000" w:themeColor="text1"/>
        </w:rPr>
        <w:t>orsaken</w:t>
      </w:r>
      <w:r>
        <w:rPr>
          <w:color w:val="000000" w:themeColor="text1"/>
        </w:rPr>
        <w:t xml:space="preserve"> </w:t>
      </w:r>
      <w:r w:rsidRPr="00F8513E">
        <w:rPr>
          <w:color w:val="000000" w:themeColor="text1"/>
        </w:rPr>
        <w:t xml:space="preserve">kan bero på störningar </w:t>
      </w:r>
      <w:r>
        <w:rPr>
          <w:color w:val="000000" w:themeColor="text1"/>
        </w:rPr>
        <w:t xml:space="preserve">i olika organ t.ex. </w:t>
      </w:r>
      <w:r w:rsidRPr="00E375A3">
        <w:rPr>
          <w:color w:val="000000" w:themeColor="text1"/>
        </w:rPr>
        <w:t>hypot</w:t>
      </w:r>
      <w:r>
        <w:rPr>
          <w:color w:val="000000" w:themeColor="text1"/>
        </w:rPr>
        <w:t>h</w:t>
      </w:r>
      <w:r w:rsidRPr="00E375A3">
        <w:rPr>
          <w:color w:val="000000" w:themeColor="text1"/>
        </w:rPr>
        <w:t>alamus</w:t>
      </w:r>
      <w:r w:rsidRPr="00F8513E">
        <w:rPr>
          <w:color w:val="000000" w:themeColor="text1"/>
        </w:rPr>
        <w:t>, </w:t>
      </w:r>
      <w:r w:rsidRPr="00E375A3">
        <w:rPr>
          <w:color w:val="000000" w:themeColor="text1"/>
        </w:rPr>
        <w:t>hypofys</w:t>
      </w:r>
      <w:r w:rsidRPr="00F8513E">
        <w:rPr>
          <w:color w:val="000000" w:themeColor="text1"/>
        </w:rPr>
        <w:t>, </w:t>
      </w:r>
      <w:r w:rsidRPr="00E375A3">
        <w:rPr>
          <w:color w:val="000000" w:themeColor="text1"/>
        </w:rPr>
        <w:t>ovarier</w:t>
      </w:r>
      <w:r w:rsidRPr="00F8513E">
        <w:rPr>
          <w:color w:val="000000" w:themeColor="text1"/>
        </w:rPr>
        <w:t> eller </w:t>
      </w:r>
      <w:r>
        <w:rPr>
          <w:color w:val="000000" w:themeColor="text1"/>
        </w:rPr>
        <w:t>u</w:t>
      </w:r>
      <w:r w:rsidRPr="00E375A3">
        <w:rPr>
          <w:color w:val="000000" w:themeColor="text1"/>
        </w:rPr>
        <w:t>terus</w:t>
      </w:r>
      <w:r>
        <w:rPr>
          <w:color w:val="000000" w:themeColor="text1"/>
        </w:rPr>
        <w:t>/vagina</w:t>
      </w:r>
      <w:r w:rsidRPr="00F8513E">
        <w:rPr>
          <w:color w:val="000000" w:themeColor="text1"/>
        </w:rPr>
        <w:t xml:space="preserve">. </w:t>
      </w:r>
      <w:r>
        <w:rPr>
          <w:color w:val="000000" w:themeColor="text1"/>
        </w:rPr>
        <w:t>Utredningen syftar till att påvisa på vilken organnivå störningen föreligger.</w:t>
      </w:r>
    </w:p>
    <w:p w:rsidR="007F503A" w:rsidRPr="00E67CCA" w:rsidRDefault="007F503A" w:rsidP="007F503A">
      <w:pPr>
        <w:jc w:val="both"/>
        <w:rPr>
          <w:color w:val="000000" w:themeColor="text1"/>
        </w:rPr>
      </w:pPr>
    </w:p>
    <w:p w:rsidR="007F503A" w:rsidRPr="00682416" w:rsidRDefault="007F503A" w:rsidP="007F503A">
      <w:pPr>
        <w:pStyle w:val="Rubrik1"/>
        <w:jc w:val="both"/>
      </w:pPr>
      <w:r>
        <w:t>Utredning</w:t>
      </w:r>
    </w:p>
    <w:p w:rsidR="007F503A" w:rsidRDefault="007F503A" w:rsidP="007F503A">
      <w:pPr>
        <w:pStyle w:val="Rubrik2"/>
        <w:ind w:left="0"/>
        <w:jc w:val="both"/>
      </w:pPr>
      <w:r w:rsidRPr="00D42303">
        <w:t xml:space="preserve">Anamnes </w:t>
      </w:r>
    </w:p>
    <w:p w:rsidR="007F503A" w:rsidRPr="00E375A3" w:rsidRDefault="007F503A" w:rsidP="007F503A">
      <w:pPr>
        <w:spacing w:after="120"/>
        <w:jc w:val="both"/>
        <w:rPr>
          <w:color w:val="000000" w:themeColor="text1"/>
        </w:rPr>
      </w:pPr>
      <w:r>
        <w:rPr>
          <w:color w:val="191919"/>
        </w:rPr>
        <w:t>Vid primär amenorré inriktas anamnesen på pubertet</w:t>
      </w:r>
      <w:r>
        <w:rPr>
          <w:shd w:val="clear" w:color="auto" w:fill="FFFFFF"/>
        </w:rPr>
        <w:t xml:space="preserve">sutveckling, tillväxt samt hereditet </w:t>
      </w:r>
      <w:r w:rsidRPr="00E375A3">
        <w:rPr>
          <w:color w:val="000000" w:themeColor="text1"/>
        </w:rPr>
        <w:t>ink</w:t>
      </w:r>
      <w:r>
        <w:rPr>
          <w:color w:val="000000" w:themeColor="text1"/>
        </w:rPr>
        <w:t>l. mammans menarch</w:t>
      </w:r>
      <w:r w:rsidRPr="00E375A3">
        <w:rPr>
          <w:color w:val="000000" w:themeColor="text1"/>
        </w:rPr>
        <w:t>eålder.</w:t>
      </w:r>
    </w:p>
    <w:p w:rsidR="007F503A" w:rsidRPr="00E375A3" w:rsidRDefault="007F503A" w:rsidP="007F503A">
      <w:pPr>
        <w:spacing w:after="120"/>
        <w:jc w:val="both"/>
        <w:rPr>
          <w:color w:val="000000" w:themeColor="text1"/>
        </w:rPr>
      </w:pPr>
      <w:r w:rsidRPr="00E375A3">
        <w:rPr>
          <w:color w:val="000000" w:themeColor="text1"/>
        </w:rPr>
        <w:t>Vid</w:t>
      </w:r>
      <w:r>
        <w:rPr>
          <w:shd w:val="clear" w:color="auto" w:fill="FFFFFF"/>
        </w:rPr>
        <w:t xml:space="preserve"> sekundär amenorré ställs frågor om ålder för menarche, tidigare graviditeter, operativa ingrepp, hormonell medicinering, ev. </w:t>
      </w:r>
      <w:r>
        <w:t xml:space="preserve">vasomotorsymtom som svettningar och </w:t>
      </w:r>
      <w:r w:rsidRPr="00E375A3">
        <w:rPr>
          <w:color w:val="000000" w:themeColor="text1"/>
        </w:rPr>
        <w:t>vallningar</w:t>
      </w:r>
      <w:r>
        <w:rPr>
          <w:color w:val="000000" w:themeColor="text1"/>
        </w:rPr>
        <w:t xml:space="preserve"> samt graviditet</w:t>
      </w:r>
      <w:r w:rsidRPr="00D42303">
        <w:rPr>
          <w:color w:val="000000" w:themeColor="text1"/>
        </w:rPr>
        <w:t>sönskan</w:t>
      </w:r>
      <w:r w:rsidRPr="00E375A3">
        <w:rPr>
          <w:color w:val="000000" w:themeColor="text1"/>
        </w:rPr>
        <w:t>.</w:t>
      </w:r>
    </w:p>
    <w:p w:rsidR="007F503A" w:rsidRPr="00E67CCA" w:rsidRDefault="007F503A" w:rsidP="007F503A">
      <w:pPr>
        <w:spacing w:after="120"/>
        <w:jc w:val="both"/>
        <w:rPr>
          <w:color w:val="000000" w:themeColor="text1"/>
        </w:rPr>
      </w:pPr>
      <w:r w:rsidRPr="00E375A3">
        <w:rPr>
          <w:color w:val="000000" w:themeColor="text1"/>
        </w:rPr>
        <w:t>Vid</w:t>
      </w:r>
      <w:r>
        <w:rPr>
          <w:shd w:val="clear" w:color="auto" w:fill="FFFFFF"/>
        </w:rPr>
        <w:t xml:space="preserve"> både primär och sekundär amenorré bör man fråga om </w:t>
      </w:r>
      <w:r>
        <w:t xml:space="preserve">viktförändring, ändrade </w:t>
      </w:r>
      <w:r>
        <w:rPr>
          <w:shd w:val="clear" w:color="auto" w:fill="FFFFFF"/>
        </w:rPr>
        <w:t>kost</w:t>
      </w:r>
      <w:r w:rsidRPr="00D42303">
        <w:rPr>
          <w:shd w:val="clear" w:color="auto" w:fill="FFFFFF"/>
        </w:rPr>
        <w:t xml:space="preserve">vanor, </w:t>
      </w:r>
      <w:r>
        <w:rPr>
          <w:shd w:val="clear" w:color="auto" w:fill="FFFFFF"/>
        </w:rPr>
        <w:t xml:space="preserve">tecken till ätstörningar, </w:t>
      </w:r>
      <w:r w:rsidRPr="00D42303">
        <w:rPr>
          <w:shd w:val="clear" w:color="auto" w:fill="FFFFFF"/>
        </w:rPr>
        <w:t xml:space="preserve">fysisk aktivitet, </w:t>
      </w:r>
      <w:r>
        <w:rPr>
          <w:shd w:val="clear" w:color="auto" w:fill="FFFFFF"/>
        </w:rPr>
        <w:t xml:space="preserve">psykologiska </w:t>
      </w:r>
      <w:r w:rsidRPr="00D42303">
        <w:rPr>
          <w:shd w:val="clear" w:color="auto" w:fill="FFFFFF"/>
        </w:rPr>
        <w:t>stress</w:t>
      </w:r>
      <w:r>
        <w:rPr>
          <w:shd w:val="clear" w:color="auto" w:fill="FFFFFF"/>
        </w:rPr>
        <w:t>faktorer</w:t>
      </w:r>
      <w:r w:rsidRPr="00D42303">
        <w:rPr>
          <w:shd w:val="clear" w:color="auto" w:fill="FFFFFF"/>
        </w:rPr>
        <w:t xml:space="preserve">, </w:t>
      </w:r>
      <w:r>
        <w:rPr>
          <w:shd w:val="clear" w:color="auto" w:fill="FFFFFF"/>
        </w:rPr>
        <w:t xml:space="preserve">akne och ökad kroppsbehåring samt </w:t>
      </w:r>
      <w:r>
        <w:t xml:space="preserve">galaktorré. Vidare kan </w:t>
      </w:r>
      <w:r w:rsidRPr="00D42303">
        <w:rPr>
          <w:shd w:val="clear" w:color="auto" w:fill="FFFFFF"/>
        </w:rPr>
        <w:t>kroniska sjukdomar (t</w:t>
      </w:r>
      <w:r>
        <w:rPr>
          <w:shd w:val="clear" w:color="auto" w:fill="FFFFFF"/>
        </w:rPr>
        <w:t>.</w:t>
      </w:r>
      <w:r w:rsidRPr="00D42303">
        <w:rPr>
          <w:shd w:val="clear" w:color="auto" w:fill="FFFFFF"/>
        </w:rPr>
        <w:t>ex</w:t>
      </w:r>
      <w:r>
        <w:rPr>
          <w:shd w:val="clear" w:color="auto" w:fill="FFFFFF"/>
        </w:rPr>
        <w:t>.</w:t>
      </w:r>
      <w:r w:rsidRPr="00D42303">
        <w:rPr>
          <w:shd w:val="clear" w:color="auto" w:fill="FFFFFF"/>
        </w:rPr>
        <w:t xml:space="preserve"> </w:t>
      </w:r>
      <w:r>
        <w:rPr>
          <w:shd w:val="clear" w:color="auto" w:fill="FFFFFF"/>
        </w:rPr>
        <w:t xml:space="preserve">astma, </w:t>
      </w:r>
      <w:r w:rsidRPr="00D42303">
        <w:rPr>
          <w:shd w:val="clear" w:color="auto" w:fill="FFFFFF"/>
        </w:rPr>
        <w:t>typ 1 diabetes</w:t>
      </w:r>
      <w:r>
        <w:rPr>
          <w:shd w:val="clear" w:color="auto" w:fill="FFFFFF"/>
        </w:rPr>
        <w:t xml:space="preserve"> eller kronisk inflammatorisk tarmsjukdom)</w:t>
      </w:r>
      <w:r w:rsidRPr="00D42303">
        <w:rPr>
          <w:shd w:val="clear" w:color="auto" w:fill="FFFFFF"/>
        </w:rPr>
        <w:t xml:space="preserve"> påverka menstruationsfunktionen</w:t>
      </w:r>
      <w:r>
        <w:t xml:space="preserve"> samt vissa </w:t>
      </w:r>
      <w:r w:rsidRPr="00D42303">
        <w:t>läkemedel (t</w:t>
      </w:r>
      <w:r>
        <w:t>.</w:t>
      </w:r>
      <w:r w:rsidRPr="00D42303">
        <w:t>ex</w:t>
      </w:r>
      <w:r>
        <w:t>.</w:t>
      </w:r>
      <w:r w:rsidRPr="00D42303">
        <w:t xml:space="preserve"> neuroleptika kan ge </w:t>
      </w:r>
      <w:r>
        <w:t xml:space="preserve">sekundär </w:t>
      </w:r>
      <w:r w:rsidRPr="00D42303">
        <w:t>hyperprolaktinemi)</w:t>
      </w:r>
      <w:r>
        <w:t>.</w:t>
      </w:r>
      <w:r w:rsidRPr="00D42303">
        <w:t xml:space="preserve"> </w:t>
      </w:r>
      <w:r>
        <w:rPr>
          <w:color w:val="000000" w:themeColor="text1"/>
        </w:rPr>
        <w:t>Ä</w:t>
      </w:r>
      <w:r w:rsidRPr="00D42303">
        <w:rPr>
          <w:color w:val="000000" w:themeColor="text1"/>
        </w:rPr>
        <w:t>rftlighet för ovariell svikt eller nedsatt fertilitet</w:t>
      </w:r>
      <w:r>
        <w:rPr>
          <w:color w:val="000000" w:themeColor="text1"/>
        </w:rPr>
        <w:t xml:space="preserve"> bör penetreras</w:t>
      </w:r>
      <w:r w:rsidRPr="00D42303">
        <w:rPr>
          <w:color w:val="000000" w:themeColor="text1"/>
        </w:rPr>
        <w:t>.</w:t>
      </w:r>
    </w:p>
    <w:p w:rsidR="007F503A" w:rsidRPr="00E67CCA" w:rsidRDefault="007F503A" w:rsidP="007F503A">
      <w:pPr>
        <w:jc w:val="both"/>
        <w:rPr>
          <w:b/>
          <w:color w:val="000000" w:themeColor="text1"/>
        </w:rPr>
      </w:pPr>
      <w:r w:rsidRPr="00E67CCA">
        <w:rPr>
          <w:b/>
          <w:color w:val="000000" w:themeColor="text1"/>
        </w:rPr>
        <w:t xml:space="preserve">Status </w:t>
      </w:r>
    </w:p>
    <w:p w:rsidR="007F503A" w:rsidRPr="00EF2B07" w:rsidRDefault="007F503A" w:rsidP="007F503A">
      <w:pPr>
        <w:pStyle w:val="Liststycke"/>
        <w:numPr>
          <w:ilvl w:val="0"/>
          <w:numId w:val="1"/>
        </w:numPr>
        <w:ind w:left="284" w:hanging="284"/>
        <w:jc w:val="both"/>
        <w:rPr>
          <w:color w:val="191919"/>
        </w:rPr>
      </w:pPr>
      <w:r w:rsidRPr="00EF2B07">
        <w:rPr>
          <w:color w:val="191919"/>
        </w:rPr>
        <w:t xml:space="preserve">Längd och vikt </w:t>
      </w:r>
      <w:r>
        <w:rPr>
          <w:color w:val="191919"/>
        </w:rPr>
        <w:t xml:space="preserve">registreras </w:t>
      </w:r>
      <w:r w:rsidRPr="00EF2B07">
        <w:rPr>
          <w:color w:val="191919"/>
        </w:rPr>
        <w:t>för beräkning av BMI</w:t>
      </w:r>
      <w:r>
        <w:rPr>
          <w:color w:val="191919"/>
        </w:rPr>
        <w:t>.</w:t>
      </w:r>
    </w:p>
    <w:p w:rsidR="007F503A" w:rsidRDefault="007F503A" w:rsidP="007F503A">
      <w:pPr>
        <w:pStyle w:val="Liststycke"/>
        <w:numPr>
          <w:ilvl w:val="0"/>
          <w:numId w:val="1"/>
        </w:numPr>
        <w:ind w:left="284" w:hanging="284"/>
        <w:jc w:val="both"/>
      </w:pPr>
      <w:r>
        <w:t xml:space="preserve">Pubertetsutveckling vid primär amenorré bedöms enligt Tanner (Figur 1). Bröstutveckling är östrogenberoende medan sekundärbehåring är androgenberoende. Normalt uppträder menarche motsvarande Tannerstadium 4. </w:t>
      </w:r>
    </w:p>
    <w:p w:rsidR="007F503A" w:rsidRDefault="007F503A" w:rsidP="007F503A">
      <w:pPr>
        <w:pStyle w:val="Liststycke"/>
        <w:numPr>
          <w:ilvl w:val="0"/>
          <w:numId w:val="1"/>
        </w:numPr>
        <w:ind w:left="284" w:hanging="284"/>
        <w:jc w:val="both"/>
      </w:pPr>
      <w:r>
        <w:t>Kliniska tecken på överskott av androgener är hirsutism, akne och abdominell fettfördelning. Virilisering innebär kraftigt ökad androgenproduktion och ger symtom som uttalad hirsutism, androgent håravfall, bröstatrofi, ökad muskelmassa, mörk röst och klitorishypertrofi.</w:t>
      </w:r>
    </w:p>
    <w:p w:rsidR="007F503A" w:rsidRPr="00101A11" w:rsidRDefault="007F503A" w:rsidP="007F503A">
      <w:pPr>
        <w:pStyle w:val="Liststycke"/>
        <w:numPr>
          <w:ilvl w:val="0"/>
          <w:numId w:val="1"/>
        </w:numPr>
        <w:ind w:left="284" w:hanging="284"/>
        <w:jc w:val="both"/>
      </w:pPr>
      <w:r>
        <w:t>Galaktorré undersöks genom att trycka runt bröstvårtan för att pressa fram sekretion.</w:t>
      </w:r>
    </w:p>
    <w:p w:rsidR="007F503A" w:rsidRPr="00E375A3" w:rsidRDefault="007F503A" w:rsidP="007F503A">
      <w:pPr>
        <w:pStyle w:val="Liststycke"/>
        <w:numPr>
          <w:ilvl w:val="0"/>
          <w:numId w:val="1"/>
        </w:numPr>
        <w:ind w:left="284" w:hanging="284"/>
        <w:jc w:val="both"/>
        <w:rPr>
          <w:color w:val="191919"/>
        </w:rPr>
      </w:pPr>
      <w:r w:rsidRPr="00E375A3">
        <w:rPr>
          <w:color w:val="191919"/>
        </w:rPr>
        <w:t xml:space="preserve">Gynekologisk undersökning inklusive ultraljud görs för att utesluta missbildning, </w:t>
      </w:r>
      <w:r>
        <w:rPr>
          <w:color w:val="191919"/>
        </w:rPr>
        <w:t>bedöma östrogenstatus på slemhinnornas utseende och e</w:t>
      </w:r>
      <w:r w:rsidRPr="0001660D">
        <w:rPr>
          <w:color w:val="191919"/>
        </w:rPr>
        <w:t>ndometrietjocklek</w:t>
      </w:r>
      <w:r>
        <w:rPr>
          <w:color w:val="191919"/>
        </w:rPr>
        <w:t xml:space="preserve"> samt påvisa ev. förekomst av polycystiska ovarier.</w:t>
      </w:r>
    </w:p>
    <w:p w:rsidR="007F503A" w:rsidRDefault="007F503A" w:rsidP="007F503A">
      <w:pPr>
        <w:pStyle w:val="Liststycke"/>
        <w:ind w:left="284"/>
        <w:jc w:val="both"/>
        <w:rPr>
          <w:color w:val="191919"/>
        </w:rPr>
      </w:pPr>
      <w:bookmarkStart w:id="1" w:name="_GoBack"/>
      <w:bookmarkEnd w:id="1"/>
      <w:r>
        <w:rPr>
          <w:noProof/>
          <w:color w:val="191919"/>
        </w:rPr>
        <w:lastRenderedPageBreak/>
        <w:drawing>
          <wp:anchor distT="0" distB="0" distL="114300" distR="114300" simplePos="0" relativeHeight="251660288" behindDoc="0" locked="0" layoutInCell="1" allowOverlap="1" wp14:anchorId="3D59E25F" wp14:editId="3C4E27CF">
            <wp:simplePos x="0" y="0"/>
            <wp:positionH relativeFrom="column">
              <wp:posOffset>2527935</wp:posOffset>
            </wp:positionH>
            <wp:positionV relativeFrom="paragraph">
              <wp:posOffset>253365</wp:posOffset>
            </wp:positionV>
            <wp:extent cx="3028950" cy="1933575"/>
            <wp:effectExtent l="0" t="0" r="0" b="0"/>
            <wp:wrapSquare wrapText="bothSides"/>
            <wp:docPr id="3" name="Bild 2" descr="pubertet14"/>
            <wp:cNvGraphicFramePr/>
            <a:graphic xmlns:a="http://schemas.openxmlformats.org/drawingml/2006/main">
              <a:graphicData uri="http://schemas.openxmlformats.org/drawingml/2006/picture">
                <pic:pic xmlns:pic="http://schemas.openxmlformats.org/drawingml/2006/picture">
                  <pic:nvPicPr>
                    <pic:cNvPr id="12290" name="Picture 2" descr="pubertet14"/>
                    <pic:cNvPicPr>
                      <a:picLocks noChangeAspect="1" noChangeArrowheads="1"/>
                    </pic:cNvPicPr>
                  </pic:nvPicPr>
                  <pic:blipFill>
                    <a:blip r:embed="rId8"/>
                    <a:srcRect/>
                    <a:stretch>
                      <a:fillRect/>
                    </a:stretch>
                  </pic:blipFill>
                  <pic:spPr bwMode="auto">
                    <a:xfrm>
                      <a:off x="0" y="0"/>
                      <a:ext cx="3028950" cy="1933575"/>
                    </a:xfrm>
                    <a:prstGeom prst="rect">
                      <a:avLst/>
                    </a:prstGeom>
                    <a:noFill/>
                    <a:ln w="9525">
                      <a:noFill/>
                      <a:miter lim="800000"/>
                      <a:headEnd/>
                      <a:tailEnd/>
                    </a:ln>
                  </pic:spPr>
                </pic:pic>
              </a:graphicData>
            </a:graphic>
          </wp:anchor>
        </w:drawing>
      </w:r>
      <w:r>
        <w:rPr>
          <w:noProof/>
          <w:color w:val="191919"/>
        </w:rPr>
        <w:drawing>
          <wp:anchor distT="0" distB="0" distL="114300" distR="114300" simplePos="0" relativeHeight="251659264" behindDoc="0" locked="0" layoutInCell="1" allowOverlap="1" wp14:anchorId="1D5A0D1D" wp14:editId="22B5CE01">
            <wp:simplePos x="0" y="0"/>
            <wp:positionH relativeFrom="column">
              <wp:posOffset>34290</wp:posOffset>
            </wp:positionH>
            <wp:positionV relativeFrom="paragraph">
              <wp:posOffset>163830</wp:posOffset>
            </wp:positionV>
            <wp:extent cx="2276475" cy="2876550"/>
            <wp:effectExtent l="0" t="0" r="0" b="0"/>
            <wp:wrapSquare wrapText="bothSides"/>
            <wp:docPr id="4" name="Bild 1" descr="pubertet12"/>
            <wp:cNvGraphicFramePr/>
            <a:graphic xmlns:a="http://schemas.openxmlformats.org/drawingml/2006/main">
              <a:graphicData uri="http://schemas.openxmlformats.org/drawingml/2006/picture">
                <pic:pic xmlns:pic="http://schemas.openxmlformats.org/drawingml/2006/picture">
                  <pic:nvPicPr>
                    <pic:cNvPr id="11266" name="Picture 3" descr="pubertet12"/>
                    <pic:cNvPicPr>
                      <a:picLocks noChangeAspect="1" noChangeArrowheads="1"/>
                    </pic:cNvPicPr>
                  </pic:nvPicPr>
                  <pic:blipFill>
                    <a:blip r:embed="rId9"/>
                    <a:srcRect/>
                    <a:stretch>
                      <a:fillRect/>
                    </a:stretch>
                  </pic:blipFill>
                  <pic:spPr bwMode="auto">
                    <a:xfrm>
                      <a:off x="0" y="0"/>
                      <a:ext cx="2276475" cy="2876550"/>
                    </a:xfrm>
                    <a:prstGeom prst="rect">
                      <a:avLst/>
                    </a:prstGeom>
                    <a:noFill/>
                    <a:ln w="9525">
                      <a:noFill/>
                      <a:miter lim="800000"/>
                      <a:headEnd/>
                      <a:tailEnd/>
                    </a:ln>
                  </pic:spPr>
                </pic:pic>
              </a:graphicData>
            </a:graphic>
          </wp:anchor>
        </w:drawing>
      </w:r>
    </w:p>
    <w:p w:rsidR="007F503A" w:rsidRDefault="007F503A" w:rsidP="007F503A">
      <w:pPr>
        <w:pStyle w:val="Liststycke"/>
        <w:ind w:left="284"/>
        <w:jc w:val="both"/>
        <w:rPr>
          <w:color w:val="191919"/>
        </w:rPr>
      </w:pPr>
    </w:p>
    <w:p w:rsidR="007F503A" w:rsidRDefault="007F503A" w:rsidP="007F503A">
      <w:pPr>
        <w:pStyle w:val="Liststycke"/>
        <w:ind w:left="284"/>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rPr>
          <w:color w:val="191919"/>
        </w:rPr>
      </w:pPr>
      <w:r w:rsidRPr="00827C5A">
        <w:rPr>
          <w:rFonts w:cs="Times New Roman"/>
          <w:b w:val="0"/>
          <w:bCs w:val="0"/>
          <w:iCs w:val="0"/>
          <w:noProof/>
          <w:szCs w:val="24"/>
        </w:rPr>
        <w:t xml:space="preserve"> </w:t>
      </w: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Default="007F503A" w:rsidP="007F503A">
      <w:pPr>
        <w:pStyle w:val="Rubrik2"/>
        <w:ind w:left="0"/>
        <w:jc w:val="both"/>
        <w:rPr>
          <w:color w:val="191919"/>
        </w:rPr>
      </w:pPr>
    </w:p>
    <w:p w:rsidR="007F503A" w:rsidRPr="00E375A3" w:rsidRDefault="007F503A" w:rsidP="007F503A">
      <w:pPr>
        <w:pStyle w:val="Rubrik2"/>
        <w:ind w:left="0"/>
        <w:jc w:val="both"/>
        <w:rPr>
          <w:b w:val="0"/>
          <w:color w:val="191919"/>
        </w:rPr>
      </w:pPr>
      <w:r>
        <w:rPr>
          <w:color w:val="191919"/>
        </w:rPr>
        <w:t xml:space="preserve">Figur 1. </w:t>
      </w:r>
      <w:r>
        <w:rPr>
          <w:b w:val="0"/>
          <w:color w:val="191919"/>
        </w:rPr>
        <w:t>Fem</w:t>
      </w:r>
      <w:r>
        <w:rPr>
          <w:color w:val="191919"/>
        </w:rPr>
        <w:t xml:space="preserve"> </w:t>
      </w:r>
      <w:r>
        <w:rPr>
          <w:b w:val="0"/>
          <w:color w:val="191919"/>
        </w:rPr>
        <w:t>Tannerstadier för bedömning av pubertetsutveckling hos flickor.</w:t>
      </w:r>
    </w:p>
    <w:p w:rsidR="007F503A" w:rsidRDefault="007F503A" w:rsidP="007F503A">
      <w:pPr>
        <w:pStyle w:val="Rubrik2"/>
        <w:ind w:left="0"/>
        <w:jc w:val="both"/>
        <w:rPr>
          <w:color w:val="191919"/>
        </w:rPr>
      </w:pPr>
    </w:p>
    <w:p w:rsidR="007F503A" w:rsidRDefault="007F503A" w:rsidP="007F503A">
      <w:pPr>
        <w:pStyle w:val="Rubrik2"/>
        <w:ind w:left="0"/>
        <w:jc w:val="both"/>
      </w:pPr>
      <w:r>
        <w:t>Basal amenorréutredning</w:t>
      </w:r>
    </w:p>
    <w:p w:rsidR="007F503A" w:rsidRDefault="007F503A" w:rsidP="007F503A">
      <w:pPr>
        <w:jc w:val="both"/>
      </w:pPr>
      <w:r w:rsidRPr="00E375A3">
        <w:rPr>
          <w:color w:val="191919"/>
        </w:rPr>
        <w:t>I basal amenorréutredning ingår att utesluta graviditet, missbildning vid primär amenorré samt hormonutredning inklusive follikelstimulerande hormon (FSH), luteiniserande hormon (LH), prolaktin, tyreoideastimulerande hormon (TSH) och fritt tyroxin (T4) (Tabell 1). Gestagentest </w:t>
      </w:r>
      <w:r>
        <w:rPr>
          <w:color w:val="191919"/>
        </w:rPr>
        <w:t>med</w:t>
      </w:r>
      <w:r w:rsidRPr="00E375A3">
        <w:rPr>
          <w:color w:val="191919"/>
        </w:rPr>
        <w:t xml:space="preserve"> t</w:t>
      </w:r>
      <w:r>
        <w:rPr>
          <w:color w:val="191919"/>
        </w:rPr>
        <w:t>.</w:t>
      </w:r>
      <w:r w:rsidRPr="00E375A3">
        <w:rPr>
          <w:color w:val="191919"/>
        </w:rPr>
        <w:t>ex</w:t>
      </w:r>
      <w:r>
        <w:rPr>
          <w:color w:val="191919"/>
        </w:rPr>
        <w:t>.</w:t>
      </w:r>
      <w:r w:rsidRPr="00E375A3">
        <w:rPr>
          <w:color w:val="191919"/>
        </w:rPr>
        <w:t> medroxiprogesteron (</w:t>
      </w:r>
      <w:r>
        <w:rPr>
          <w:color w:val="191919"/>
        </w:rPr>
        <w:t xml:space="preserve">T </w:t>
      </w:r>
      <w:r w:rsidRPr="00E375A3">
        <w:rPr>
          <w:color w:val="191919"/>
        </w:rPr>
        <w:t>Provera)</w:t>
      </w:r>
      <w:r>
        <w:rPr>
          <w:color w:val="191919"/>
        </w:rPr>
        <w:t xml:space="preserve"> </w:t>
      </w:r>
      <w:r w:rsidRPr="00E375A3">
        <w:rPr>
          <w:color w:val="191919"/>
        </w:rPr>
        <w:t>10 mg dagligen i 10 dagar</w:t>
      </w:r>
      <w:r>
        <w:rPr>
          <w:color w:val="191919"/>
        </w:rPr>
        <w:t xml:space="preserve"> kan användas för att framkalla bortfallsblödning och bekräftar då </w:t>
      </w:r>
      <w:r w:rsidRPr="00E375A3">
        <w:rPr>
          <w:color w:val="191919"/>
        </w:rPr>
        <w:t xml:space="preserve">normal anatomi </w:t>
      </w:r>
      <w:r>
        <w:rPr>
          <w:color w:val="191919"/>
        </w:rPr>
        <w:t>samt</w:t>
      </w:r>
      <w:r w:rsidRPr="00E375A3">
        <w:rPr>
          <w:color w:val="191919"/>
        </w:rPr>
        <w:t xml:space="preserve"> fysiologiska östrogennivåer (</w:t>
      </w:r>
      <w:r>
        <w:rPr>
          <w:color w:val="191919"/>
        </w:rPr>
        <w:t>ö</w:t>
      </w:r>
      <w:r w:rsidRPr="00E375A3">
        <w:rPr>
          <w:color w:val="191919"/>
        </w:rPr>
        <w:t>stradiol &gt; 100</w:t>
      </w:r>
      <w:r>
        <w:rPr>
          <w:color w:val="191919"/>
        </w:rPr>
        <w:t xml:space="preserve"> pmol/L</w:t>
      </w:r>
      <w:r w:rsidRPr="00E375A3">
        <w:rPr>
          <w:color w:val="191919"/>
        </w:rPr>
        <w:t xml:space="preserve">). </w:t>
      </w:r>
      <w:r>
        <w:t>Vid misstanke om missbildning görs MR eller laparoskopi för vidare utredning.</w:t>
      </w:r>
    </w:p>
    <w:p w:rsidR="007F503A" w:rsidRPr="00E375A3" w:rsidRDefault="007F503A" w:rsidP="007F503A">
      <w:pPr>
        <w:jc w:val="both"/>
        <w:rPr>
          <w:b/>
        </w:rPr>
      </w:pPr>
    </w:p>
    <w:p w:rsidR="007F503A" w:rsidRDefault="007F503A" w:rsidP="007F503A">
      <w:pPr>
        <w:pStyle w:val="Rubrik2"/>
        <w:ind w:left="0"/>
        <w:jc w:val="both"/>
        <w:rPr>
          <w:b w:val="0"/>
        </w:rPr>
      </w:pPr>
    </w:p>
    <w:p w:rsidR="007F503A" w:rsidRPr="0001660D" w:rsidRDefault="007F503A" w:rsidP="007F503A">
      <w:pPr>
        <w:rPr>
          <w:b/>
        </w:rPr>
      </w:pPr>
      <w:r w:rsidRPr="0001660D">
        <w:rPr>
          <w:b/>
        </w:rPr>
        <w:t xml:space="preserve">Tabell 1. </w:t>
      </w:r>
      <w:r w:rsidRPr="0001660D">
        <w:t>Basal amenorréutredning</w:t>
      </w:r>
    </w:p>
    <w:p w:rsidR="007F503A" w:rsidRPr="0001660D" w:rsidRDefault="007F503A" w:rsidP="007F503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0"/>
        <w:gridCol w:w="4288"/>
      </w:tblGrid>
      <w:tr w:rsidR="007F503A" w:rsidRPr="00557C05" w:rsidTr="00436F37">
        <w:trPr>
          <w:trHeight w:val="520"/>
        </w:trPr>
        <w:tc>
          <w:tcPr>
            <w:tcW w:w="5000" w:type="dxa"/>
          </w:tcPr>
          <w:p w:rsidR="007F503A" w:rsidRPr="0001660D" w:rsidRDefault="007F503A" w:rsidP="00436F37">
            <w:pPr>
              <w:rPr>
                <w:b/>
              </w:rPr>
            </w:pPr>
            <w:r w:rsidRPr="0001660D">
              <w:rPr>
                <w:b/>
              </w:rPr>
              <w:t>Utesluta graviditet</w:t>
            </w:r>
          </w:p>
        </w:tc>
        <w:tc>
          <w:tcPr>
            <w:tcW w:w="4288" w:type="dxa"/>
          </w:tcPr>
          <w:p w:rsidR="007F503A" w:rsidRPr="0001660D" w:rsidRDefault="007F503A" w:rsidP="00436F37">
            <w:r w:rsidRPr="0001660D">
              <w:t>Graviditetstest</w:t>
            </w:r>
          </w:p>
        </w:tc>
      </w:tr>
      <w:tr w:rsidR="007F503A" w:rsidRPr="00557C05" w:rsidTr="00436F37">
        <w:trPr>
          <w:trHeight w:val="520"/>
        </w:trPr>
        <w:tc>
          <w:tcPr>
            <w:tcW w:w="5000" w:type="dxa"/>
          </w:tcPr>
          <w:p w:rsidR="007F503A" w:rsidRPr="0001660D" w:rsidRDefault="007F503A" w:rsidP="00436F37">
            <w:pPr>
              <w:rPr>
                <w:b/>
              </w:rPr>
            </w:pPr>
            <w:r w:rsidRPr="0001660D">
              <w:rPr>
                <w:b/>
              </w:rPr>
              <w:t>Utesluta missbildning eller skada av inre och yttre gynekologiska organ</w:t>
            </w:r>
          </w:p>
          <w:p w:rsidR="007F503A" w:rsidRPr="0001660D" w:rsidRDefault="007F503A" w:rsidP="00436F37"/>
        </w:tc>
        <w:tc>
          <w:tcPr>
            <w:tcW w:w="4288" w:type="dxa"/>
          </w:tcPr>
          <w:p w:rsidR="007F503A" w:rsidRPr="0001660D" w:rsidRDefault="007F503A" w:rsidP="00436F37">
            <w:r w:rsidRPr="0001660D">
              <w:t>Gynekologisk undersökning, ultraljud</w:t>
            </w:r>
          </w:p>
        </w:tc>
      </w:tr>
      <w:tr w:rsidR="007F503A" w:rsidRPr="00557C05" w:rsidTr="00436F37">
        <w:trPr>
          <w:trHeight w:val="520"/>
        </w:trPr>
        <w:tc>
          <w:tcPr>
            <w:tcW w:w="5000" w:type="dxa"/>
          </w:tcPr>
          <w:p w:rsidR="007F503A" w:rsidRPr="0001660D" w:rsidRDefault="007F503A" w:rsidP="00436F37">
            <w:pPr>
              <w:rPr>
                <w:b/>
              </w:rPr>
            </w:pPr>
            <w:r w:rsidRPr="0001660D">
              <w:rPr>
                <w:b/>
              </w:rPr>
              <w:t xml:space="preserve">Hormonanalyser </w:t>
            </w:r>
          </w:p>
        </w:tc>
        <w:tc>
          <w:tcPr>
            <w:tcW w:w="4288" w:type="dxa"/>
          </w:tcPr>
          <w:p w:rsidR="007F503A" w:rsidRPr="0001660D" w:rsidRDefault="007F503A" w:rsidP="00436F37">
            <w:r w:rsidRPr="0001660D">
              <w:t>FSH, LH, prolaktin, TSH och fritt T4</w:t>
            </w:r>
          </w:p>
        </w:tc>
      </w:tr>
    </w:tbl>
    <w:p w:rsidR="007F503A" w:rsidRDefault="007F503A" w:rsidP="007F503A">
      <w:pPr>
        <w:pStyle w:val="Rubrik2"/>
        <w:ind w:left="0"/>
        <w:jc w:val="both"/>
      </w:pPr>
    </w:p>
    <w:p w:rsidR="007F503A" w:rsidRDefault="007F503A" w:rsidP="007F503A">
      <w:pPr>
        <w:rPr>
          <w:rFonts w:cs="Arial"/>
          <w:szCs w:val="28"/>
        </w:rPr>
      </w:pPr>
      <w:r>
        <w:br w:type="page"/>
      </w:r>
    </w:p>
    <w:p w:rsidR="007F503A" w:rsidRDefault="007F503A" w:rsidP="007F503A">
      <w:pPr>
        <w:pStyle w:val="Rubrik2"/>
        <w:ind w:left="0"/>
        <w:jc w:val="both"/>
      </w:pPr>
    </w:p>
    <w:p w:rsidR="007F503A" w:rsidRDefault="007F503A" w:rsidP="007F503A">
      <w:pPr>
        <w:pStyle w:val="Rubrik2"/>
        <w:ind w:left="0"/>
        <w:jc w:val="both"/>
      </w:pPr>
      <w:r>
        <w:t>Nivådiagnostik</w:t>
      </w:r>
    </w:p>
    <w:p w:rsidR="007F503A" w:rsidRPr="00E375A3" w:rsidRDefault="007F503A" w:rsidP="007F503A">
      <w:pPr>
        <w:spacing w:after="120"/>
        <w:jc w:val="both"/>
        <w:rPr>
          <w:b/>
        </w:rPr>
      </w:pPr>
      <w:r w:rsidRPr="00E375A3">
        <w:t xml:space="preserve">Utifrån både FSH och LH görs nivådiagnostik och indelning i hypogonadotrop hypogonadism, </w:t>
      </w:r>
      <w:r>
        <w:t>normogonadotrop hypogonadism eller</w:t>
      </w:r>
      <w:r w:rsidRPr="00E375A3">
        <w:t xml:space="preserve"> hypergonadotrop hypogonadism (Tabell 2).</w:t>
      </w:r>
    </w:p>
    <w:p w:rsidR="007F503A" w:rsidRDefault="007F503A" w:rsidP="007F503A">
      <w:pPr>
        <w:spacing w:after="120"/>
        <w:jc w:val="both"/>
      </w:pPr>
      <w:r w:rsidRPr="00E375A3">
        <w:rPr>
          <w:color w:val="000000" w:themeColor="text1"/>
        </w:rPr>
        <w:t>Låga</w:t>
      </w:r>
      <w:r>
        <w:t xml:space="preserve"> serumnivåer av LH (≤ 2 E/L) talar för hypothalamisk amenorré, för fortsatt handläggning </w:t>
      </w:r>
      <w:r w:rsidRPr="00434C57">
        <w:t>se</w:t>
      </w:r>
      <w:r w:rsidRPr="00E375A3">
        <w:rPr>
          <w:b/>
        </w:rPr>
        <w:t xml:space="preserve"> PM Hypothalamisk amenorré</w:t>
      </w:r>
      <w:r>
        <w:t>.</w:t>
      </w:r>
    </w:p>
    <w:p w:rsidR="007F503A" w:rsidRPr="00B80261" w:rsidRDefault="007F503A" w:rsidP="007F503A">
      <w:pPr>
        <w:spacing w:after="120"/>
        <w:jc w:val="both"/>
      </w:pPr>
      <w:r>
        <w:t>Låga nivåer av framförallt LH i kombination med förhöjt prolaktin, med eller utan galaktorré, ska utredas vidare med MRT sella för uteslutande av prolaktinom</w:t>
      </w:r>
      <w:r w:rsidRPr="00AF7BCB">
        <w:t xml:space="preserve">. </w:t>
      </w:r>
      <w:r>
        <w:t xml:space="preserve">Samtidig förhöjning av TSH kan innebära hypothyreos med sekundär hyperprolaktinemi. </w:t>
      </w:r>
      <w:r w:rsidRPr="00E375A3">
        <w:t>Se</w:t>
      </w:r>
      <w:r w:rsidRPr="00AF7BCB">
        <w:rPr>
          <w:b/>
        </w:rPr>
        <w:t xml:space="preserve"> PM Hyperprolaktinemi</w:t>
      </w:r>
      <w:r w:rsidRPr="00052FE8">
        <w:t>.</w:t>
      </w:r>
      <w:r w:rsidRPr="00AF7BCB">
        <w:t xml:space="preserve"> </w:t>
      </w:r>
      <w:r>
        <w:t xml:space="preserve"> </w:t>
      </w:r>
    </w:p>
    <w:p w:rsidR="007F503A" w:rsidRDefault="007F503A" w:rsidP="007F503A">
      <w:pPr>
        <w:spacing w:after="120"/>
        <w:jc w:val="both"/>
      </w:pPr>
      <w:r>
        <w:t xml:space="preserve">FSH och LH inom normalområdet ses vid funktionella störningar av olika orsaker. Vid polycystiskt ovariesyndrom (PCOS) är LH ofta högre än FSH. </w:t>
      </w:r>
      <w:r w:rsidRPr="003805B4">
        <w:t>Vid mis</w:t>
      </w:r>
      <w:r>
        <w:t>stanke om PCOS kompletteras hormonutredning med serumnivåer av testosteron, sexual hormonbindande globulin (</w:t>
      </w:r>
      <w:r w:rsidRPr="00E375A3">
        <w:t>SHBG</w:t>
      </w:r>
      <w:r>
        <w:t>) samt antiműllerskt hormon (</w:t>
      </w:r>
      <w:r w:rsidRPr="00E375A3">
        <w:t>AMH</w:t>
      </w:r>
      <w:r>
        <w:t xml:space="preserve">). Se </w:t>
      </w:r>
      <w:r w:rsidRPr="00AF7BCB">
        <w:rPr>
          <w:b/>
        </w:rPr>
        <w:t>PM Polycystiskt ovariesyndrom</w:t>
      </w:r>
      <w:r w:rsidRPr="00052FE8">
        <w:t xml:space="preserve">. </w:t>
      </w:r>
    </w:p>
    <w:p w:rsidR="007F503A" w:rsidRPr="00052FE8" w:rsidRDefault="007F503A" w:rsidP="007F503A">
      <w:pPr>
        <w:spacing w:after="120"/>
        <w:jc w:val="both"/>
      </w:pPr>
      <w:r>
        <w:t xml:space="preserve">Höga serumnivåer av framförallt FSH (&gt; 40 E/L) tyder på prematur ovariell svikt (POI) och måste utredas vidare med bland annat kromosomanalys för att utesluta t.ex. Turners syndrom eller gonaddysgenesi. </w:t>
      </w:r>
      <w:r w:rsidRPr="00E375A3">
        <w:t>Se</w:t>
      </w:r>
      <w:r w:rsidRPr="00AF7BCB">
        <w:rPr>
          <w:b/>
        </w:rPr>
        <w:t xml:space="preserve"> PM </w:t>
      </w:r>
      <w:r>
        <w:rPr>
          <w:b/>
        </w:rPr>
        <w:t>Ovariell svikt</w:t>
      </w:r>
      <w:r w:rsidRPr="00052FE8">
        <w:t>.</w:t>
      </w:r>
    </w:p>
    <w:p w:rsidR="007F503A" w:rsidRDefault="007F503A" w:rsidP="007F503A">
      <w:pPr>
        <w:jc w:val="both"/>
      </w:pPr>
    </w:p>
    <w:p w:rsidR="007F503A" w:rsidRPr="00557C05" w:rsidRDefault="007F503A" w:rsidP="007F503A">
      <w:pPr>
        <w:jc w:val="both"/>
      </w:pPr>
    </w:p>
    <w:p w:rsidR="007F503A" w:rsidRPr="00E375A3" w:rsidRDefault="007F503A" w:rsidP="007F503A">
      <w:pPr>
        <w:rPr>
          <w:i/>
        </w:rPr>
      </w:pPr>
      <w:r w:rsidRPr="00E375A3">
        <w:rPr>
          <w:b/>
        </w:rPr>
        <w:t>Tabell 2</w:t>
      </w:r>
      <w:r w:rsidRPr="00E375A3">
        <w:t>. Indelning av amenorré utifrån serumnivåer av gonadotropiner (FSH och LH)</w:t>
      </w:r>
      <w:r w:rsidRPr="00E375A3">
        <w:rPr>
          <w:i/>
        </w:rPr>
        <w:t xml:space="preserve">. </w:t>
      </w:r>
    </w:p>
    <w:p w:rsidR="007F503A" w:rsidRPr="00E375A3" w:rsidRDefault="007F503A" w:rsidP="007F50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323"/>
        <w:gridCol w:w="2297"/>
        <w:gridCol w:w="2298"/>
      </w:tblGrid>
      <w:tr w:rsidR="007F503A" w:rsidRPr="00557C05" w:rsidTr="00436F37">
        <w:trPr>
          <w:trHeight w:val="662"/>
        </w:trPr>
        <w:tc>
          <w:tcPr>
            <w:tcW w:w="2297" w:type="dxa"/>
          </w:tcPr>
          <w:p w:rsidR="007F503A" w:rsidRPr="00E375A3" w:rsidRDefault="007F503A" w:rsidP="00436F37"/>
        </w:tc>
        <w:tc>
          <w:tcPr>
            <w:tcW w:w="2297" w:type="dxa"/>
          </w:tcPr>
          <w:p w:rsidR="007F503A" w:rsidRPr="00E375A3" w:rsidRDefault="007F503A" w:rsidP="00436F37">
            <w:pPr>
              <w:rPr>
                <w:b/>
              </w:rPr>
            </w:pPr>
            <w:r w:rsidRPr="00E375A3">
              <w:rPr>
                <w:b/>
              </w:rPr>
              <w:t xml:space="preserve">Gonadotropinnivåer </w:t>
            </w:r>
          </w:p>
        </w:tc>
        <w:tc>
          <w:tcPr>
            <w:tcW w:w="2297" w:type="dxa"/>
          </w:tcPr>
          <w:p w:rsidR="007F503A" w:rsidRPr="00E375A3" w:rsidRDefault="007F503A" w:rsidP="00436F37">
            <w:pPr>
              <w:rPr>
                <w:b/>
              </w:rPr>
            </w:pPr>
            <w:r w:rsidRPr="00E375A3">
              <w:rPr>
                <w:b/>
              </w:rPr>
              <w:t>Organnivå</w:t>
            </w:r>
          </w:p>
        </w:tc>
        <w:tc>
          <w:tcPr>
            <w:tcW w:w="2298" w:type="dxa"/>
          </w:tcPr>
          <w:p w:rsidR="007F503A" w:rsidRPr="00E375A3" w:rsidRDefault="007F503A" w:rsidP="00436F37">
            <w:pPr>
              <w:rPr>
                <w:b/>
              </w:rPr>
            </w:pPr>
            <w:r w:rsidRPr="00E375A3">
              <w:rPr>
                <w:b/>
              </w:rPr>
              <w:t>Exempel på tillstånd</w:t>
            </w:r>
          </w:p>
        </w:tc>
      </w:tr>
      <w:tr w:rsidR="007F503A" w:rsidRPr="00557C05" w:rsidTr="00436F37">
        <w:trPr>
          <w:trHeight w:val="331"/>
        </w:trPr>
        <w:tc>
          <w:tcPr>
            <w:tcW w:w="2297" w:type="dxa"/>
          </w:tcPr>
          <w:p w:rsidR="007F503A" w:rsidRPr="00E375A3" w:rsidRDefault="007F503A" w:rsidP="00436F37">
            <w:r w:rsidRPr="00E375A3">
              <w:rPr>
                <w:b/>
              </w:rPr>
              <w:t>Hypogonadotrop hypogonadism</w:t>
            </w:r>
          </w:p>
        </w:tc>
        <w:tc>
          <w:tcPr>
            <w:tcW w:w="2297" w:type="dxa"/>
          </w:tcPr>
          <w:p w:rsidR="007F503A" w:rsidRPr="00E375A3" w:rsidRDefault="007F503A" w:rsidP="00436F37">
            <w:r>
              <w:t xml:space="preserve">Låga nivåer av </w:t>
            </w:r>
            <w:r w:rsidRPr="00E375A3">
              <w:t>framförallt LH</w:t>
            </w:r>
          </w:p>
        </w:tc>
        <w:tc>
          <w:tcPr>
            <w:tcW w:w="2297" w:type="dxa"/>
          </w:tcPr>
          <w:p w:rsidR="007F503A" w:rsidRPr="00E375A3" w:rsidRDefault="007F503A" w:rsidP="00436F37">
            <w:r w:rsidRPr="00E375A3">
              <w:t>Hypothalamus eller hypofysnivå</w:t>
            </w:r>
          </w:p>
        </w:tc>
        <w:tc>
          <w:tcPr>
            <w:tcW w:w="2298" w:type="dxa"/>
          </w:tcPr>
          <w:p w:rsidR="007F503A" w:rsidRPr="00E375A3" w:rsidRDefault="007F503A" w:rsidP="00436F37">
            <w:r w:rsidRPr="00E375A3">
              <w:t>Hypothalamisk amenorré, hyperprolaktinemi/</w:t>
            </w:r>
          </w:p>
          <w:p w:rsidR="007F503A" w:rsidRPr="00E375A3" w:rsidRDefault="007F503A" w:rsidP="00436F37">
            <w:r w:rsidRPr="00E375A3">
              <w:t>prolaktinom</w:t>
            </w:r>
          </w:p>
        </w:tc>
      </w:tr>
      <w:tr w:rsidR="007F503A" w:rsidRPr="00557C05" w:rsidTr="00436F37">
        <w:trPr>
          <w:trHeight w:val="311"/>
        </w:trPr>
        <w:tc>
          <w:tcPr>
            <w:tcW w:w="2297" w:type="dxa"/>
          </w:tcPr>
          <w:p w:rsidR="007F503A" w:rsidRPr="00E375A3" w:rsidRDefault="007F503A" w:rsidP="00436F37">
            <w:r w:rsidRPr="00E375A3">
              <w:rPr>
                <w:b/>
              </w:rPr>
              <w:t>Normogonadotrop hypogonadism</w:t>
            </w:r>
          </w:p>
        </w:tc>
        <w:tc>
          <w:tcPr>
            <w:tcW w:w="2297" w:type="dxa"/>
          </w:tcPr>
          <w:p w:rsidR="007F503A" w:rsidRPr="00E375A3" w:rsidRDefault="007F503A" w:rsidP="00436F37">
            <w:r>
              <w:t>Gonadotropiner i</w:t>
            </w:r>
            <w:r w:rsidRPr="00E375A3">
              <w:t>nom normalområdet, ibland ökad LH/FSH-kvot</w:t>
            </w:r>
          </w:p>
        </w:tc>
        <w:tc>
          <w:tcPr>
            <w:tcW w:w="2297" w:type="dxa"/>
          </w:tcPr>
          <w:p w:rsidR="007F503A" w:rsidRPr="00E375A3" w:rsidRDefault="007F503A" w:rsidP="00436F37">
            <w:r w:rsidRPr="00E375A3">
              <w:t xml:space="preserve">Störd reglering mellan hypothalamus, hypofys och ovarier eller uterusnivå </w:t>
            </w:r>
          </w:p>
        </w:tc>
        <w:tc>
          <w:tcPr>
            <w:tcW w:w="2298" w:type="dxa"/>
          </w:tcPr>
          <w:p w:rsidR="007F503A" w:rsidRPr="00E375A3" w:rsidRDefault="007F503A" w:rsidP="00436F37">
            <w:r w:rsidRPr="00E375A3">
              <w:t>PCOS, försenad pubertet, missbildning av uterus/vagina</w:t>
            </w:r>
          </w:p>
        </w:tc>
      </w:tr>
      <w:tr w:rsidR="007F503A" w:rsidRPr="00557C05" w:rsidTr="00436F37">
        <w:trPr>
          <w:trHeight w:val="331"/>
        </w:trPr>
        <w:tc>
          <w:tcPr>
            <w:tcW w:w="2297" w:type="dxa"/>
          </w:tcPr>
          <w:p w:rsidR="007F503A" w:rsidRPr="00E375A3" w:rsidRDefault="007F503A" w:rsidP="00436F37">
            <w:r w:rsidRPr="00E375A3">
              <w:rPr>
                <w:b/>
              </w:rPr>
              <w:t>Hypergonadotrop hypogonadism</w:t>
            </w:r>
          </w:p>
        </w:tc>
        <w:tc>
          <w:tcPr>
            <w:tcW w:w="2297" w:type="dxa"/>
          </w:tcPr>
          <w:p w:rsidR="007F503A" w:rsidRPr="00E375A3" w:rsidRDefault="007F503A" w:rsidP="00436F37">
            <w:r>
              <w:t xml:space="preserve">Höga nivåer av </w:t>
            </w:r>
            <w:r w:rsidRPr="00E375A3">
              <w:t>framförallt FSH</w:t>
            </w:r>
          </w:p>
        </w:tc>
        <w:tc>
          <w:tcPr>
            <w:tcW w:w="2297" w:type="dxa"/>
          </w:tcPr>
          <w:p w:rsidR="007F503A" w:rsidRPr="00E375A3" w:rsidRDefault="007F503A" w:rsidP="00436F37">
            <w:r w:rsidRPr="00E375A3">
              <w:t>Ovariell nivå</w:t>
            </w:r>
          </w:p>
        </w:tc>
        <w:tc>
          <w:tcPr>
            <w:tcW w:w="2298" w:type="dxa"/>
          </w:tcPr>
          <w:p w:rsidR="007F503A" w:rsidRPr="00E375A3" w:rsidRDefault="007F503A" w:rsidP="00436F37">
            <w:r w:rsidRPr="00E375A3">
              <w:t>PO</w:t>
            </w:r>
            <w:r>
              <w:t>I</w:t>
            </w:r>
            <w:r w:rsidRPr="00E375A3">
              <w:t>, Turners syndrom och andra kromosomrubbningar</w:t>
            </w:r>
          </w:p>
        </w:tc>
      </w:tr>
    </w:tbl>
    <w:p w:rsidR="007F503A" w:rsidRDefault="007F503A" w:rsidP="007F503A">
      <w:pPr>
        <w:jc w:val="both"/>
      </w:pPr>
    </w:p>
    <w:p w:rsidR="007F503A" w:rsidRDefault="007F503A" w:rsidP="007F503A">
      <w:pPr>
        <w:jc w:val="both"/>
      </w:pPr>
    </w:p>
    <w:p w:rsidR="007F503A" w:rsidRDefault="007F503A" w:rsidP="007F503A">
      <w:pPr>
        <w:jc w:val="both"/>
      </w:pPr>
    </w:p>
    <w:p w:rsidR="007F503A" w:rsidRDefault="007F503A" w:rsidP="007F503A"/>
    <w:p w:rsidR="007F503A" w:rsidRDefault="007F503A" w:rsidP="007F503A">
      <w:pPr>
        <w:widowControl/>
        <w:rPr>
          <w:rFonts w:cs="Arial"/>
          <w:b/>
          <w:bCs/>
          <w:kern w:val="32"/>
          <w:sz w:val="28"/>
          <w:szCs w:val="28"/>
        </w:rPr>
      </w:pPr>
      <w:r>
        <w:br w:type="page"/>
      </w:r>
    </w:p>
    <w:p w:rsidR="007F503A" w:rsidRPr="00E375A3" w:rsidRDefault="007F503A" w:rsidP="007F503A">
      <w:pPr>
        <w:pStyle w:val="Rubrik1"/>
        <w:jc w:val="both"/>
      </w:pPr>
      <w:r w:rsidRPr="00E375A3">
        <w:t>Allmänna råd</w:t>
      </w:r>
    </w:p>
    <w:p w:rsidR="007F503A" w:rsidRDefault="007F503A" w:rsidP="007F503A">
      <w:pPr>
        <w:spacing w:after="120"/>
        <w:jc w:val="both"/>
      </w:pPr>
      <w:r w:rsidRPr="00E375A3">
        <w:t xml:space="preserve">Gör aldrig hormonutredning då patienten står på hormonella preventivmedel! </w:t>
      </w:r>
      <w:r>
        <w:t>Alla ovulationshämmande preparat hämmar gondatropiner, östradiol, progesteron och androgener. Även minipiller samt hormonspiral kan påverka hormonnivåerna. För optimal utredning måste hormonella preventivmedel sättas ut minst 6 veckor före blodprovstagning. För p-stav och p-spruta krävs minst 3 månaders uppehåll.</w:t>
      </w:r>
    </w:p>
    <w:p w:rsidR="007F503A" w:rsidRDefault="007F503A" w:rsidP="007F503A">
      <w:pPr>
        <w:spacing w:after="120"/>
        <w:jc w:val="both"/>
      </w:pPr>
      <w:r>
        <w:t>Vid oklara resultat rekommenderas expektans och sedan ny provtagning efter ett par månader.</w:t>
      </w:r>
    </w:p>
    <w:p w:rsidR="007F503A" w:rsidRDefault="007F503A" w:rsidP="007F503A">
      <w:pPr>
        <w:spacing w:after="120"/>
        <w:jc w:val="both"/>
      </w:pPr>
      <w:r>
        <w:t>Primär amenorré behöver inte utredas med kromosomanalys om gonadotropinerna är normala eller låga.</w:t>
      </w:r>
    </w:p>
    <w:p w:rsidR="007F503A" w:rsidRPr="00E375A3" w:rsidRDefault="007F503A" w:rsidP="007F503A">
      <w:pPr>
        <w:jc w:val="both"/>
        <w:rPr>
          <w:b/>
        </w:rPr>
      </w:pPr>
    </w:p>
    <w:p w:rsidR="007F503A" w:rsidRPr="00F65DFE" w:rsidRDefault="007F503A" w:rsidP="007F503A">
      <w:pPr>
        <w:pStyle w:val="Liststycke"/>
        <w:jc w:val="both"/>
      </w:pPr>
    </w:p>
    <w:p w:rsidR="007F503A" w:rsidRPr="00E375A3" w:rsidRDefault="007F503A" w:rsidP="007F503A">
      <w:pPr>
        <w:pStyle w:val="Rubrik2"/>
        <w:ind w:left="0"/>
        <w:jc w:val="both"/>
      </w:pPr>
    </w:p>
    <w:p w:rsidR="007F503A" w:rsidRPr="00CF7754" w:rsidRDefault="007F503A" w:rsidP="007F503A">
      <w:pPr>
        <w:jc w:val="both"/>
      </w:pPr>
    </w:p>
    <w:p w:rsidR="007F503A" w:rsidRPr="009D2946" w:rsidRDefault="007F503A" w:rsidP="007F503A">
      <w:pPr>
        <w:widowControl/>
        <w:rPr>
          <w:b/>
          <w:sz w:val="28"/>
          <w:szCs w:val="28"/>
        </w:rPr>
      </w:pPr>
    </w:p>
    <w:p w:rsidR="007F503A" w:rsidRPr="009D2946" w:rsidRDefault="007F503A" w:rsidP="007F503A">
      <w:pPr>
        <w:widowControl/>
        <w:rPr>
          <w:b/>
          <w:sz w:val="28"/>
          <w:szCs w:val="28"/>
        </w:rPr>
      </w:pPr>
    </w:p>
    <w:p w:rsidR="007F503A" w:rsidRPr="009D2946" w:rsidRDefault="007F503A" w:rsidP="007F503A">
      <w:pPr>
        <w:widowControl/>
        <w:rPr>
          <w:b/>
          <w:sz w:val="28"/>
          <w:szCs w:val="28"/>
        </w:rPr>
      </w:pPr>
    </w:p>
    <w:p w:rsidR="007F503A" w:rsidRDefault="007F503A" w:rsidP="007F503A">
      <w:pPr>
        <w:widowControl/>
        <w:rPr>
          <w:b/>
          <w:sz w:val="28"/>
          <w:szCs w:val="28"/>
        </w:rPr>
      </w:pPr>
      <w:r>
        <w:rPr>
          <w:b/>
          <w:sz w:val="28"/>
          <w:szCs w:val="28"/>
        </w:rPr>
        <w:t>Versions</w:t>
      </w:r>
      <w:r w:rsidRPr="0073674B">
        <w:rPr>
          <w:b/>
          <w:sz w:val="28"/>
          <w:szCs w:val="28"/>
        </w:rPr>
        <w:t>historik</w:t>
      </w:r>
    </w:p>
    <w:p w:rsidR="007F503A" w:rsidRDefault="007F503A" w:rsidP="007F503A">
      <w:r>
        <w:t>Varje dokument bör innehålla en historik som för varje version talar om vad som ändrats, vem som gjort ändringen och när ändringen gjordes.</w:t>
      </w:r>
    </w:p>
    <w:p w:rsidR="007F503A" w:rsidRDefault="007F503A" w:rsidP="007F503A">
      <w:pPr>
        <w:widowControl/>
      </w:pPr>
    </w:p>
    <w:tbl>
      <w:tblPr>
        <w:tblStyle w:val="Tabellrutnt"/>
        <w:tblW w:w="0" w:type="auto"/>
        <w:tblLook w:val="0020" w:firstRow="1" w:lastRow="0" w:firstColumn="0" w:lastColumn="0" w:noHBand="0" w:noVBand="0"/>
      </w:tblPr>
      <w:tblGrid>
        <w:gridCol w:w="1242"/>
        <w:gridCol w:w="1418"/>
        <w:gridCol w:w="4248"/>
        <w:gridCol w:w="2303"/>
      </w:tblGrid>
      <w:tr w:rsidR="007F503A" w:rsidRPr="0073674B" w:rsidTr="00436F37">
        <w:tc>
          <w:tcPr>
            <w:tcW w:w="1242" w:type="dxa"/>
            <w:shd w:val="clear" w:color="auto" w:fill="D9D9D9" w:themeFill="background1" w:themeFillShade="D9"/>
          </w:tcPr>
          <w:p w:rsidR="007F503A" w:rsidRPr="0073674B" w:rsidRDefault="007F503A" w:rsidP="00436F37">
            <w:pPr>
              <w:spacing w:before="120" w:after="120"/>
              <w:jc w:val="both"/>
              <w:rPr>
                <w:b/>
                <w:bCs/>
              </w:rPr>
            </w:pPr>
            <w:r w:rsidRPr="0073674B">
              <w:rPr>
                <w:b/>
                <w:bCs/>
              </w:rPr>
              <w:t>Version</w:t>
            </w:r>
          </w:p>
        </w:tc>
        <w:tc>
          <w:tcPr>
            <w:tcW w:w="1418" w:type="dxa"/>
            <w:shd w:val="clear" w:color="auto" w:fill="D9D9D9" w:themeFill="background1" w:themeFillShade="D9"/>
          </w:tcPr>
          <w:p w:rsidR="007F503A" w:rsidRPr="0073674B" w:rsidRDefault="007F503A" w:rsidP="00436F37">
            <w:pPr>
              <w:spacing w:before="120" w:after="120"/>
              <w:jc w:val="both"/>
              <w:rPr>
                <w:b/>
                <w:bCs/>
              </w:rPr>
            </w:pPr>
            <w:r w:rsidRPr="0073674B">
              <w:rPr>
                <w:b/>
                <w:bCs/>
              </w:rPr>
              <w:t>Datum</w:t>
            </w:r>
          </w:p>
        </w:tc>
        <w:tc>
          <w:tcPr>
            <w:tcW w:w="4248" w:type="dxa"/>
            <w:shd w:val="clear" w:color="auto" w:fill="D9D9D9" w:themeFill="background1" w:themeFillShade="D9"/>
          </w:tcPr>
          <w:p w:rsidR="007F503A" w:rsidRPr="0073674B" w:rsidRDefault="007F503A" w:rsidP="00436F37">
            <w:pPr>
              <w:spacing w:before="120" w:after="120"/>
              <w:jc w:val="both"/>
              <w:rPr>
                <w:b/>
                <w:bCs/>
              </w:rPr>
            </w:pPr>
            <w:r w:rsidRPr="0073674B">
              <w:rPr>
                <w:b/>
                <w:bCs/>
              </w:rPr>
              <w:t>Förändring och kommentar</w:t>
            </w:r>
          </w:p>
        </w:tc>
        <w:tc>
          <w:tcPr>
            <w:tcW w:w="2303" w:type="dxa"/>
            <w:shd w:val="clear" w:color="auto" w:fill="D9D9D9" w:themeFill="background1" w:themeFillShade="D9"/>
          </w:tcPr>
          <w:p w:rsidR="007F503A" w:rsidRPr="0073674B" w:rsidRDefault="007F503A" w:rsidP="00436F37">
            <w:pPr>
              <w:spacing w:before="120" w:after="120"/>
              <w:jc w:val="both"/>
              <w:rPr>
                <w:b/>
                <w:bCs/>
              </w:rPr>
            </w:pPr>
            <w:r w:rsidRPr="0073674B">
              <w:rPr>
                <w:b/>
                <w:bCs/>
              </w:rPr>
              <w:t>Ansvarig</w:t>
            </w:r>
          </w:p>
        </w:tc>
      </w:tr>
      <w:tr w:rsidR="007F503A" w:rsidRPr="0073674B" w:rsidTr="00436F37">
        <w:tc>
          <w:tcPr>
            <w:tcW w:w="1242" w:type="dxa"/>
          </w:tcPr>
          <w:p w:rsidR="007F503A" w:rsidRPr="0073674B" w:rsidRDefault="007F503A" w:rsidP="00436F37">
            <w:r>
              <w:t>2</w:t>
            </w:r>
          </w:p>
        </w:tc>
        <w:tc>
          <w:tcPr>
            <w:tcW w:w="1418" w:type="dxa"/>
          </w:tcPr>
          <w:p w:rsidR="007F503A" w:rsidRPr="0073674B" w:rsidRDefault="007F503A" w:rsidP="00436F37">
            <w:r>
              <w:t>2019-04-07</w:t>
            </w:r>
          </w:p>
        </w:tc>
        <w:tc>
          <w:tcPr>
            <w:tcW w:w="4248" w:type="dxa"/>
          </w:tcPr>
          <w:p w:rsidR="007F503A" w:rsidRPr="0073674B" w:rsidRDefault="007F503A" w:rsidP="00436F37">
            <w:r>
              <w:t>Utarbetad av Hedvig Engberg, Angelica Lindén Hirschberg</w:t>
            </w:r>
          </w:p>
        </w:tc>
        <w:tc>
          <w:tcPr>
            <w:tcW w:w="2303" w:type="dxa"/>
          </w:tcPr>
          <w:p w:rsidR="007F503A" w:rsidRPr="0073674B" w:rsidRDefault="007F503A" w:rsidP="00436F37">
            <w:r>
              <w:t>Tekla Lind</w:t>
            </w:r>
          </w:p>
        </w:tc>
      </w:tr>
      <w:tr w:rsidR="007F503A" w:rsidRPr="0073674B" w:rsidTr="00436F37">
        <w:tc>
          <w:tcPr>
            <w:tcW w:w="1242" w:type="dxa"/>
          </w:tcPr>
          <w:p w:rsidR="007F503A" w:rsidRPr="0073674B" w:rsidRDefault="007F503A" w:rsidP="00436F37">
            <w:r>
              <w:t>1</w:t>
            </w:r>
          </w:p>
        </w:tc>
        <w:tc>
          <w:tcPr>
            <w:tcW w:w="1418" w:type="dxa"/>
          </w:tcPr>
          <w:p w:rsidR="007F503A" w:rsidRPr="0073674B" w:rsidRDefault="007F503A" w:rsidP="00436F37">
            <w:r>
              <w:t>2018-03-08</w:t>
            </w:r>
          </w:p>
        </w:tc>
        <w:tc>
          <w:tcPr>
            <w:tcW w:w="4248" w:type="dxa"/>
          </w:tcPr>
          <w:p w:rsidR="007F503A" w:rsidRPr="0073674B" w:rsidRDefault="007F503A" w:rsidP="00436F37">
            <w:r>
              <w:t>Utarbetad av Tekla Lind</w:t>
            </w:r>
          </w:p>
        </w:tc>
        <w:tc>
          <w:tcPr>
            <w:tcW w:w="2303" w:type="dxa"/>
          </w:tcPr>
          <w:p w:rsidR="007F503A" w:rsidRPr="0073674B" w:rsidRDefault="007F503A" w:rsidP="00436F37">
            <w:r>
              <w:t>Ameli Norling</w:t>
            </w:r>
          </w:p>
        </w:tc>
      </w:tr>
    </w:tbl>
    <w:p w:rsidR="007F503A" w:rsidRPr="006330C0" w:rsidRDefault="007F503A" w:rsidP="007F503A"/>
    <w:p w:rsidR="007F503A" w:rsidRPr="00046189" w:rsidRDefault="007F503A" w:rsidP="00730505"/>
    <w:sectPr w:rsidR="007F503A" w:rsidRPr="00046189" w:rsidSect="00FE15A1">
      <w:headerReference w:type="default" r:id="rId10"/>
      <w:footerReference w:type="default" r:id="rId11"/>
      <w:headerReference w:type="first" r:id="rId12"/>
      <w:footerReference w:type="first" r:id="rId13"/>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C14" w:rsidRDefault="008F2C14" w:rsidP="00F47081">
      <w:r>
        <w:separator/>
      </w:r>
    </w:p>
  </w:endnote>
  <w:endnote w:type="continuationSeparator" w:id="0">
    <w:p w:rsidR="008F2C14" w:rsidRDefault="008F2C1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F74A0E"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F74A0E"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Kar2-14845</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F74A0E"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F74A0E"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2</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F74A0E"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2019-04-29</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F74A0E">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F74A0E">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F74A0E"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F74A0E"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Kar2-14845</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F74A0E"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F74A0E"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2</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F74A0E"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2019-04-29</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F74A0E">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F74A0E">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C14" w:rsidRDefault="008F2C14" w:rsidP="00F47081">
      <w:r>
        <w:separator/>
      </w:r>
    </w:p>
  </w:footnote>
  <w:footnote w:type="continuationSeparator" w:id="0">
    <w:p w:rsidR="008F2C14" w:rsidRDefault="008F2C1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F74A0E"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295025">
            <w:rPr>
              <w:rFonts w:asciiTheme="minorHAnsi" w:hAnsiTheme="minorHAnsi"/>
              <w:noProof/>
            </w:rPr>
            <w:t>3</w:t>
          </w:r>
          <w:r w:rsidRPr="00123992">
            <w:rPr>
              <w:rFonts w:asciiTheme="minorHAnsi" w:hAnsiTheme="minorHAnsi"/>
            </w:rPr>
            <w:fldChar w:fldCharType="end"/>
          </w:r>
          <w:r w:rsidR="001C5ECA" w:rsidRPr="00123992">
            <w:rPr>
              <w:rFonts w:asciiTheme="minorHAnsi" w:hAnsiTheme="minorHAnsi"/>
            </w:rPr>
            <w:t xml:space="preserve"> (</w:t>
          </w:r>
          <w:r w:rsidR="007F503A">
            <w:rPr>
              <w:rFonts w:asciiTheme="minorHAnsi" w:hAnsiTheme="minorHAnsi"/>
              <w:noProof/>
            </w:rPr>
            <w:fldChar w:fldCharType="begin"/>
          </w:r>
          <w:r w:rsidR="007F503A">
            <w:rPr>
              <w:rFonts w:asciiTheme="minorHAnsi" w:hAnsiTheme="minorHAnsi"/>
              <w:noProof/>
            </w:rPr>
            <w:instrText xml:space="preserve"> NUMPAGES  \* MERGEFORMAT </w:instrText>
          </w:r>
          <w:r w:rsidR="007F503A">
            <w:rPr>
              <w:rFonts w:asciiTheme="minorHAnsi" w:hAnsiTheme="minorHAnsi"/>
              <w:noProof/>
            </w:rPr>
            <w:fldChar w:fldCharType="separate"/>
          </w:r>
          <w:r w:rsidR="00295025" w:rsidRPr="00295025">
            <w:rPr>
              <w:rFonts w:asciiTheme="minorHAnsi" w:hAnsiTheme="minorHAnsi"/>
              <w:noProof/>
            </w:rPr>
            <w:t>4</w:t>
          </w:r>
          <w:r w:rsidR="007F503A">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F74A0E"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295025">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7F503A">
            <w:rPr>
              <w:rFonts w:asciiTheme="minorHAnsi" w:hAnsiTheme="minorHAnsi"/>
              <w:noProof/>
            </w:rPr>
            <w:fldChar w:fldCharType="begin"/>
          </w:r>
          <w:r w:rsidR="007F503A">
            <w:rPr>
              <w:rFonts w:asciiTheme="minorHAnsi" w:hAnsiTheme="minorHAnsi"/>
              <w:noProof/>
            </w:rPr>
            <w:instrText xml:space="preserve"> NUMPAGES  \* MERGEFORMAT </w:instrText>
          </w:r>
          <w:r w:rsidR="007F503A">
            <w:rPr>
              <w:rFonts w:asciiTheme="minorHAnsi" w:hAnsiTheme="minorHAnsi"/>
              <w:noProof/>
            </w:rPr>
            <w:fldChar w:fldCharType="separate"/>
          </w:r>
          <w:r w:rsidR="00295025" w:rsidRPr="00295025">
            <w:rPr>
              <w:rFonts w:asciiTheme="minorHAnsi" w:hAnsiTheme="minorHAnsi"/>
              <w:noProof/>
            </w:rPr>
            <w:t>4</w:t>
          </w:r>
          <w:r w:rsidR="007F503A">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66CA"/>
    <w:multiLevelType w:val="hybridMultilevel"/>
    <w:tmpl w:val="24A077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31C13"/>
    <w:rsid w:val="00046063"/>
    <w:rsid w:val="00046189"/>
    <w:rsid w:val="00047788"/>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025C1"/>
    <w:rsid w:val="00233A25"/>
    <w:rsid w:val="00235B0D"/>
    <w:rsid w:val="002642CE"/>
    <w:rsid w:val="002769F1"/>
    <w:rsid w:val="00295025"/>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27989"/>
    <w:rsid w:val="00447EBD"/>
    <w:rsid w:val="00463852"/>
    <w:rsid w:val="00463CE9"/>
    <w:rsid w:val="004644A8"/>
    <w:rsid w:val="00473759"/>
    <w:rsid w:val="00474607"/>
    <w:rsid w:val="004C3347"/>
    <w:rsid w:val="004C5F7B"/>
    <w:rsid w:val="004E0843"/>
    <w:rsid w:val="004E370A"/>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3B11"/>
    <w:rsid w:val="005A75E6"/>
    <w:rsid w:val="005B04BF"/>
    <w:rsid w:val="005C1E82"/>
    <w:rsid w:val="005C2A6A"/>
    <w:rsid w:val="005C50FF"/>
    <w:rsid w:val="005C7CF9"/>
    <w:rsid w:val="005F0B72"/>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E318F"/>
    <w:rsid w:val="006E5CD4"/>
    <w:rsid w:val="007155A0"/>
    <w:rsid w:val="00720662"/>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C7C90"/>
    <w:rsid w:val="007D561A"/>
    <w:rsid w:val="007D7A76"/>
    <w:rsid w:val="007F503A"/>
    <w:rsid w:val="0081138A"/>
    <w:rsid w:val="00820E06"/>
    <w:rsid w:val="0083084E"/>
    <w:rsid w:val="0084434C"/>
    <w:rsid w:val="008765DF"/>
    <w:rsid w:val="00877AF7"/>
    <w:rsid w:val="00884C34"/>
    <w:rsid w:val="00887EA3"/>
    <w:rsid w:val="00893D63"/>
    <w:rsid w:val="008956CE"/>
    <w:rsid w:val="008A147E"/>
    <w:rsid w:val="008A6A48"/>
    <w:rsid w:val="008B6CB0"/>
    <w:rsid w:val="008C2B03"/>
    <w:rsid w:val="008D143D"/>
    <w:rsid w:val="008D4840"/>
    <w:rsid w:val="008E03CB"/>
    <w:rsid w:val="008F25CC"/>
    <w:rsid w:val="008F2C14"/>
    <w:rsid w:val="008F5F42"/>
    <w:rsid w:val="008F6310"/>
    <w:rsid w:val="00916924"/>
    <w:rsid w:val="009259B6"/>
    <w:rsid w:val="00926A38"/>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472"/>
    <w:rsid w:val="00AE2C8C"/>
    <w:rsid w:val="00AE3448"/>
    <w:rsid w:val="00AF69EE"/>
    <w:rsid w:val="00B00F3E"/>
    <w:rsid w:val="00B2112E"/>
    <w:rsid w:val="00B22B7D"/>
    <w:rsid w:val="00B237A2"/>
    <w:rsid w:val="00B24C48"/>
    <w:rsid w:val="00B46D94"/>
    <w:rsid w:val="00B5688E"/>
    <w:rsid w:val="00B7532A"/>
    <w:rsid w:val="00B81FC6"/>
    <w:rsid w:val="00B85E7F"/>
    <w:rsid w:val="00BA3DB1"/>
    <w:rsid w:val="00BB044B"/>
    <w:rsid w:val="00BB2D58"/>
    <w:rsid w:val="00BB74B1"/>
    <w:rsid w:val="00BC2905"/>
    <w:rsid w:val="00BD7647"/>
    <w:rsid w:val="00BF186B"/>
    <w:rsid w:val="00C11263"/>
    <w:rsid w:val="00C11EF7"/>
    <w:rsid w:val="00C215F0"/>
    <w:rsid w:val="00C27304"/>
    <w:rsid w:val="00C579D4"/>
    <w:rsid w:val="00C712F5"/>
    <w:rsid w:val="00C90CCA"/>
    <w:rsid w:val="00CA6F8A"/>
    <w:rsid w:val="00CB116E"/>
    <w:rsid w:val="00CB341B"/>
    <w:rsid w:val="00CC3836"/>
    <w:rsid w:val="00CC4FA1"/>
    <w:rsid w:val="00CC73B9"/>
    <w:rsid w:val="00CD53DF"/>
    <w:rsid w:val="00CF4644"/>
    <w:rsid w:val="00CF7754"/>
    <w:rsid w:val="00D204EB"/>
    <w:rsid w:val="00D21D17"/>
    <w:rsid w:val="00D24FFA"/>
    <w:rsid w:val="00D270A5"/>
    <w:rsid w:val="00D3561B"/>
    <w:rsid w:val="00D37D27"/>
    <w:rsid w:val="00D41720"/>
    <w:rsid w:val="00D41DAA"/>
    <w:rsid w:val="00D50DA7"/>
    <w:rsid w:val="00D56B21"/>
    <w:rsid w:val="00D60013"/>
    <w:rsid w:val="00D67F3A"/>
    <w:rsid w:val="00D7790F"/>
    <w:rsid w:val="00DA4158"/>
    <w:rsid w:val="00DF3558"/>
    <w:rsid w:val="00DF3638"/>
    <w:rsid w:val="00E169EE"/>
    <w:rsid w:val="00E17E79"/>
    <w:rsid w:val="00E21228"/>
    <w:rsid w:val="00E27A84"/>
    <w:rsid w:val="00E63120"/>
    <w:rsid w:val="00E64F96"/>
    <w:rsid w:val="00E7592E"/>
    <w:rsid w:val="00E77EDE"/>
    <w:rsid w:val="00E82565"/>
    <w:rsid w:val="00E94A0B"/>
    <w:rsid w:val="00EA6533"/>
    <w:rsid w:val="00EB626B"/>
    <w:rsid w:val="00EC191C"/>
    <w:rsid w:val="00EC6562"/>
    <w:rsid w:val="00EC6E22"/>
    <w:rsid w:val="00ED1C5C"/>
    <w:rsid w:val="00ED41EB"/>
    <w:rsid w:val="00ED77C7"/>
    <w:rsid w:val="00EE5B69"/>
    <w:rsid w:val="00EE6DF8"/>
    <w:rsid w:val="00EF6425"/>
    <w:rsid w:val="00F0551D"/>
    <w:rsid w:val="00F055D4"/>
    <w:rsid w:val="00F11FD1"/>
    <w:rsid w:val="00F273B9"/>
    <w:rsid w:val="00F62AA2"/>
    <w:rsid w:val="00F74A0E"/>
    <w:rsid w:val="00F8194A"/>
    <w:rsid w:val="00F93951"/>
    <w:rsid w:val="00FA2425"/>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shapedefaults>
    <o:shapelayout v:ext="edit">
      <o:idmap v:ext="edit" data="1"/>
    </o:shapelayout>
  </w:shapeDefaults>
  <w:decimalSymbol w:val=","/>
  <w:listSeparator w:val=";"/>
  <w15:docId w15:val="{41177FB0-CF39-4159-AD3A-925EA2DA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CF7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BCB3F-908A-4D3A-AA79-1FABF154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732D33FB</Template>
  <TotalTime>3</TotalTime>
  <Pages>4</Pages>
  <Words>972</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21</cp:revision>
  <cp:lastPrinted>2005-03-23T12:04:00Z</cp:lastPrinted>
  <dcterms:created xsi:type="dcterms:W3CDTF">2019-04-29T07:09:00Z</dcterms:created>
  <dcterms:modified xsi:type="dcterms:W3CDTF">2021-03-04T09:56:00Z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