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Rubrik"/>
    <w:p w:rsidR="008C2B03" w:rsidRPr="00BA3DB1" w:rsidRDefault="00FC1A9C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Bartolinit (H)"/>
            </w:textInput>
          </w:ffData>
        </w:fldChar>
      </w:r>
      <w:r w:rsidR="00BA3DB1" w:rsidRPr="00BA3DB1">
        <w:instrText xml:space="preserve"> FORMTEXT </w:instrText>
      </w:r>
      <w:r w:rsidR="001E5B5C">
        <w:rPr>
          <w:lang w:val="en-US"/>
        </w:rPr>
      </w:r>
      <w:r>
        <w:rPr>
          <w:lang w:val="en-US"/>
        </w:rPr>
        <w:fldChar w:fldCharType="separate"/>
      </w:r>
      <w:r w:rsidR="001E5B5C">
        <w:rPr>
          <w:lang w:val="en-US"/>
        </w:rPr>
        <w:t>Bartolinit (H)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Pr="00046189" w:rsidRDefault="009D2946" w:rsidP="00730505"/>
    <w:p w:rsidR="006425BD" w:rsidRPr="00AD41A0" w:rsidRDefault="006425BD" w:rsidP="006425BD">
      <w:pPr>
        <w:rPr>
          <w:rFonts w:cstheme="minorHAnsi"/>
          <w:b/>
          <w:sz w:val="28"/>
          <w:szCs w:val="28"/>
          <w:u w:val="single"/>
        </w:rPr>
      </w:pPr>
      <w:bookmarkStart w:id="1" w:name="_Hlk536611733"/>
      <w:r w:rsidRPr="00AD41A0">
        <w:rPr>
          <w:rFonts w:cstheme="minorHAnsi"/>
          <w:b/>
          <w:sz w:val="28"/>
          <w:szCs w:val="28"/>
          <w:u w:val="single"/>
        </w:rPr>
        <w:t>Bakgrund:</w:t>
      </w:r>
    </w:p>
    <w:p w:rsidR="006425BD" w:rsidRDefault="006425BD" w:rsidP="006425BD">
      <w:pPr>
        <w:rPr>
          <w:rFonts w:cstheme="minorHAnsi"/>
        </w:rPr>
      </w:pPr>
      <w:r w:rsidRPr="00AD41A0">
        <w:rPr>
          <w:rFonts w:cstheme="minorHAnsi"/>
        </w:rPr>
        <w:t>Bartolin</w:t>
      </w:r>
      <w:r>
        <w:rPr>
          <w:rFonts w:cstheme="minorHAnsi"/>
        </w:rPr>
        <w:t>i</w:t>
      </w:r>
      <w:r w:rsidRPr="00AD41A0">
        <w:rPr>
          <w:rFonts w:cstheme="minorHAnsi"/>
        </w:rPr>
        <w:t>s körtlar ligger bilateralt på insidan av yttre blygdläpparna i position kl. 4 och 8.</w:t>
      </w:r>
      <w:r>
        <w:rPr>
          <w:rFonts w:cstheme="minorHAnsi"/>
        </w:rPr>
        <w:t xml:space="preserve"> Körtlarna bildar ett sekret som håller slidmynningen fuktig. </w:t>
      </w:r>
      <w:r w:rsidRPr="00AD41A0">
        <w:rPr>
          <w:rFonts w:cstheme="minorHAnsi"/>
        </w:rPr>
        <w:t>Ungefär 2 % av alla kvinnor får en cysta eller abscess i körteln. Abscesser är vanligare än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>cystor och kan uppkomma efter en primär infektion i körteln eller infekteras sekundärt. Mer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>än 60 olika bakterietyper kan infektera körteln och odling är bara nödvändig vid bilateral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 xml:space="preserve">infektion och då skall GC odling tas. Abscesser och cystor är vanligast i </w:t>
      </w:r>
      <w:r>
        <w:rPr>
          <w:rFonts w:cstheme="minorHAnsi"/>
        </w:rPr>
        <w:t>fertil ålder</w:t>
      </w:r>
      <w:r w:rsidRPr="00AD41A0">
        <w:rPr>
          <w:rFonts w:cstheme="minorHAnsi"/>
        </w:rPr>
        <w:t>. Små cystor utan symtom behöver inte behandlas. Abscesser däremot behöver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 xml:space="preserve">öppnas och dräneras. </w:t>
      </w:r>
    </w:p>
    <w:p w:rsidR="006425BD" w:rsidRDefault="006425BD" w:rsidP="006425BD">
      <w:pPr>
        <w:rPr>
          <w:rFonts w:cstheme="minorHAnsi"/>
        </w:rPr>
      </w:pPr>
    </w:p>
    <w:p w:rsidR="006425BD" w:rsidRDefault="006425BD" w:rsidP="006425BD">
      <w:pPr>
        <w:rPr>
          <w:rFonts w:cstheme="minorHAnsi"/>
        </w:rPr>
      </w:pPr>
      <w:r w:rsidRPr="00AD41A0">
        <w:rPr>
          <w:rFonts w:cstheme="minorHAnsi"/>
        </w:rPr>
        <w:t xml:space="preserve">Dränage </w:t>
      </w:r>
      <w:r>
        <w:rPr>
          <w:rFonts w:cstheme="minorHAnsi"/>
        </w:rPr>
        <w:t xml:space="preserve">med Word-kateter </w:t>
      </w:r>
      <w:r w:rsidRPr="00AD41A0">
        <w:rPr>
          <w:rFonts w:cstheme="minorHAnsi"/>
        </w:rPr>
        <w:t>kan göras på ett undersökningsrum med adekvat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>smärtlindring och bedövning.</w:t>
      </w:r>
      <w:r>
        <w:rPr>
          <w:rFonts w:cstheme="minorHAnsi"/>
        </w:rPr>
        <w:t xml:space="preserve"> Alternativet är marsupialisation vilket oftast görs på operation i narkos. Detta alternativ lämpar sig hos kvinnor med mycket omfattande och/eller multi-septerade abscesser där det inte är möjligt att dränera hela abscessen med Word-kateter, samt hos kvinnor som inte tolererar inläggning av Word-kateter på undersökningsrummet. </w:t>
      </w:r>
    </w:p>
    <w:p w:rsidR="006425BD" w:rsidRDefault="006425BD" w:rsidP="006425BD">
      <w:pPr>
        <w:rPr>
          <w:rFonts w:cstheme="minorHAnsi"/>
        </w:rPr>
      </w:pPr>
    </w:p>
    <w:p w:rsidR="006425BD" w:rsidRDefault="006425BD" w:rsidP="006425BD">
      <w:pPr>
        <w:rPr>
          <w:rFonts w:cstheme="minorHAnsi"/>
        </w:rPr>
      </w:pPr>
      <w:r w:rsidRPr="00953294">
        <w:rPr>
          <w:rFonts w:cstheme="minorHAnsi"/>
          <w:b/>
        </w:rPr>
        <w:t>Extirpation</w:t>
      </w:r>
      <w:r>
        <w:rPr>
          <w:rFonts w:cstheme="minorHAnsi"/>
        </w:rPr>
        <w:t xml:space="preserve"> av hela Bartolins körtel lämpar sig främst hos kvinnor med återkommande infektioner eller symptomgivande cysta. Stor risk för blödning när hela kapseln avlägsnas. Ska inte ske vid pågående infektion.</w:t>
      </w:r>
    </w:p>
    <w:p w:rsidR="006425BD" w:rsidRDefault="006425BD" w:rsidP="006425BD">
      <w:pPr>
        <w:rPr>
          <w:rFonts w:cstheme="minorHAnsi"/>
        </w:rPr>
      </w:pPr>
    </w:p>
    <w:p w:rsidR="006425BD" w:rsidRDefault="006425BD" w:rsidP="006425BD">
      <w:pPr>
        <w:rPr>
          <w:rFonts w:cstheme="minorHAnsi"/>
        </w:rPr>
      </w:pPr>
      <w:r w:rsidRPr="00953294">
        <w:rPr>
          <w:rFonts w:cstheme="minorHAnsi"/>
          <w:b/>
        </w:rPr>
        <w:t>Antibiotika</w:t>
      </w:r>
      <w:r w:rsidRPr="00AD41A0">
        <w:rPr>
          <w:rFonts w:cstheme="minorHAnsi"/>
        </w:rPr>
        <w:t xml:space="preserve"> behövs inte när abscessen är öppnad</w:t>
      </w:r>
      <w:r>
        <w:rPr>
          <w:rFonts w:cstheme="minorHAnsi"/>
        </w:rPr>
        <w:t>.</w:t>
      </w:r>
      <w:r w:rsidRPr="00AD41A0">
        <w:rPr>
          <w:rFonts w:cstheme="minorHAnsi"/>
        </w:rPr>
        <w:t xml:space="preserve"> </w:t>
      </w:r>
      <w:r>
        <w:rPr>
          <w:rFonts w:cstheme="minorHAnsi"/>
        </w:rPr>
        <w:t>K</w:t>
      </w:r>
      <w:r w:rsidRPr="00AD41A0">
        <w:rPr>
          <w:rFonts w:cstheme="minorHAnsi"/>
        </w:rPr>
        <w:t>an</w:t>
      </w:r>
      <w:r>
        <w:rPr>
          <w:rFonts w:cstheme="minorHAnsi"/>
        </w:rPr>
        <w:t xml:space="preserve"> övervägas om utbredd</w:t>
      </w:r>
      <w:r w:rsidRPr="00AD41A0">
        <w:rPr>
          <w:rFonts w:cstheme="minorHAnsi"/>
        </w:rPr>
        <w:t xml:space="preserve"> infektion utanför körteln i hud eller subcutant.</w:t>
      </w:r>
      <w:r>
        <w:rPr>
          <w:rFonts w:cstheme="minorHAnsi"/>
        </w:rPr>
        <w:t xml:space="preserve"> Kan även ges om abscessen inte är ”mogen” för dränage för att eventuellt förebygga utveckling av abscess.</w:t>
      </w:r>
    </w:p>
    <w:p w:rsidR="006425BD" w:rsidRPr="00953294" w:rsidRDefault="006425BD" w:rsidP="006425BD">
      <w:pPr>
        <w:rPr>
          <w:rFonts w:cstheme="minorHAnsi"/>
        </w:rPr>
      </w:pPr>
      <w:r>
        <w:rPr>
          <w:rFonts w:cstheme="minorHAnsi"/>
        </w:rPr>
        <w:t>I första hand:</w:t>
      </w:r>
      <w:r>
        <w:rPr>
          <w:rFonts w:cstheme="minorHAnsi"/>
        </w:rPr>
        <w:tab/>
      </w:r>
      <w:r>
        <w:rPr>
          <w:rFonts w:cstheme="minorHAnsi"/>
        </w:rPr>
        <w:tab/>
        <w:t>F</w:t>
      </w:r>
      <w:r w:rsidRPr="00953294">
        <w:rPr>
          <w:rFonts w:cstheme="minorHAnsi"/>
        </w:rPr>
        <w:t>lukloxacillin</w:t>
      </w:r>
      <w:r>
        <w:rPr>
          <w:rFonts w:cstheme="minorHAnsi"/>
        </w:rPr>
        <w:t>: t.ex:</w:t>
      </w:r>
      <w:r w:rsidRPr="00953294">
        <w:rPr>
          <w:rFonts w:cstheme="minorHAnsi"/>
        </w:rPr>
        <w:t xml:space="preserve"> T Heracillin 1 g x 3 po i 5-7 dygn</w:t>
      </w:r>
    </w:p>
    <w:p w:rsidR="006425BD" w:rsidRPr="00953294" w:rsidRDefault="006425BD" w:rsidP="006425BD">
      <w:pPr>
        <w:rPr>
          <w:rFonts w:cstheme="minorHAnsi"/>
        </w:rPr>
      </w:pPr>
    </w:p>
    <w:p w:rsidR="006425BD" w:rsidRPr="00953294" w:rsidRDefault="006425BD" w:rsidP="006425BD">
      <w:pPr>
        <w:rPr>
          <w:rFonts w:cstheme="minorHAnsi"/>
        </w:rPr>
      </w:pPr>
      <w:r w:rsidRPr="00953294">
        <w:rPr>
          <w:rFonts w:cstheme="minorHAnsi"/>
        </w:rPr>
        <w:t>Vid typ I allergi</w:t>
      </w:r>
      <w:r>
        <w:rPr>
          <w:rFonts w:cstheme="minorHAnsi"/>
        </w:rPr>
        <w:t>:</w:t>
      </w:r>
      <w:r w:rsidRPr="00953294">
        <w:rPr>
          <w:rFonts w:cstheme="minorHAnsi"/>
        </w:rPr>
        <w:t xml:space="preserve"> </w:t>
      </w:r>
      <w:r>
        <w:rPr>
          <w:rFonts w:cstheme="minorHAnsi"/>
        </w:rPr>
        <w:tab/>
        <w:t>K</w:t>
      </w:r>
      <w:r w:rsidRPr="00953294">
        <w:rPr>
          <w:rFonts w:cstheme="minorHAnsi"/>
        </w:rPr>
        <w:t>lindamycin</w:t>
      </w:r>
      <w:r>
        <w:rPr>
          <w:rFonts w:cstheme="minorHAnsi"/>
        </w:rPr>
        <w:t>: t.ex</w:t>
      </w:r>
      <w:r w:rsidRPr="00953294">
        <w:rPr>
          <w:rFonts w:cstheme="minorHAnsi"/>
        </w:rPr>
        <w:t xml:space="preserve"> K Dalacin 300 mg x 3 po i 5-7 dygn</w:t>
      </w:r>
    </w:p>
    <w:p w:rsidR="006425BD" w:rsidRPr="00AD41A0" w:rsidRDefault="006425BD" w:rsidP="006425BD">
      <w:pPr>
        <w:rPr>
          <w:rFonts w:cstheme="minorHAnsi"/>
        </w:rPr>
      </w:pPr>
    </w:p>
    <w:p w:rsidR="006425BD" w:rsidRPr="00AD41A0" w:rsidRDefault="006425BD" w:rsidP="006425BD">
      <w:pPr>
        <w:rPr>
          <w:rFonts w:cstheme="minorHAnsi"/>
        </w:rPr>
      </w:pPr>
    </w:p>
    <w:p w:rsidR="006425BD" w:rsidRPr="00BE2C09" w:rsidRDefault="006425BD" w:rsidP="006425BD">
      <w:pPr>
        <w:rPr>
          <w:rFonts w:cstheme="minorHAnsi"/>
          <w:b/>
          <w:sz w:val="28"/>
          <w:szCs w:val="28"/>
          <w:u w:val="single"/>
        </w:rPr>
      </w:pPr>
      <w:r w:rsidRPr="00BE2C09">
        <w:rPr>
          <w:rFonts w:cstheme="minorHAnsi"/>
          <w:b/>
          <w:sz w:val="28"/>
          <w:szCs w:val="28"/>
          <w:u w:val="single"/>
        </w:rPr>
        <w:t>Dränage med Word kateter</w:t>
      </w:r>
    </w:p>
    <w:p w:rsidR="006425BD" w:rsidRDefault="006425BD" w:rsidP="006425BD">
      <w:pPr>
        <w:rPr>
          <w:rFonts w:cstheme="minorHAnsi"/>
        </w:rPr>
      </w:pPr>
    </w:p>
    <w:p w:rsidR="006425BD" w:rsidRDefault="006425BD" w:rsidP="006425B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CB347E5" wp14:editId="74D9E5FE">
            <wp:extent cx="1790700" cy="1638300"/>
            <wp:effectExtent l="0" t="0" r="0" b="0"/>
            <wp:docPr id="3" name="Bildobjekt 3" descr="C:\Users\Kristina\AppData\Local\Microsoft\Windows\INetCache\Content.MSO\11FCA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tina\AppData\Local\Microsoft\Windows\INetCache\Content.MSO\11FCAF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BD" w:rsidRDefault="006425BD" w:rsidP="006425BD">
      <w:pPr>
        <w:rPr>
          <w:rFonts w:cstheme="minorHAnsi"/>
        </w:rPr>
      </w:pPr>
    </w:p>
    <w:p w:rsidR="006425BD" w:rsidRPr="00AD41A0" w:rsidRDefault="006425BD" w:rsidP="006425BD">
      <w:pPr>
        <w:rPr>
          <w:rFonts w:cstheme="minorHAnsi"/>
        </w:rPr>
      </w:pPr>
      <w:r w:rsidRPr="00AD41A0">
        <w:rPr>
          <w:rFonts w:cstheme="minorHAnsi"/>
        </w:rPr>
        <w:t>En smal kateter av silikon som används för att skapa en fistelgång från abscessen ut till</w:t>
      </w:r>
    </w:p>
    <w:p w:rsidR="006425BD" w:rsidRPr="00AD41A0" w:rsidRDefault="006425BD" w:rsidP="006425BD">
      <w:pPr>
        <w:rPr>
          <w:rFonts w:cstheme="minorHAnsi"/>
        </w:rPr>
      </w:pPr>
      <w:r w:rsidRPr="00AD41A0">
        <w:rPr>
          <w:rFonts w:cstheme="minorHAnsi"/>
        </w:rPr>
        <w:t>slemhinnan och därmed ny öppning för Bartolin</w:t>
      </w:r>
      <w:r>
        <w:rPr>
          <w:rFonts w:cstheme="minorHAnsi"/>
        </w:rPr>
        <w:t xml:space="preserve">s </w:t>
      </w:r>
      <w:r w:rsidRPr="00AD41A0">
        <w:rPr>
          <w:rFonts w:cstheme="minorHAnsi"/>
        </w:rPr>
        <w:t>körteln. Den får inte läggas från huden på</w:t>
      </w:r>
    </w:p>
    <w:p w:rsidR="006425BD" w:rsidRPr="00AD41A0" w:rsidRDefault="006425BD" w:rsidP="006425BD">
      <w:pPr>
        <w:rPr>
          <w:rFonts w:cstheme="minorHAnsi"/>
        </w:rPr>
      </w:pPr>
      <w:r w:rsidRPr="00AD41A0">
        <w:rPr>
          <w:rFonts w:cstheme="minorHAnsi"/>
        </w:rPr>
        <w:t xml:space="preserve">utsidan av yttre blygdläppar till abscess, utan ska ligga på insidan till slemhinnan. </w:t>
      </w:r>
    </w:p>
    <w:p w:rsidR="006425BD" w:rsidRPr="00AD41A0" w:rsidRDefault="006425BD" w:rsidP="006425BD">
      <w:pPr>
        <w:rPr>
          <w:rFonts w:cstheme="minorHAnsi"/>
        </w:rPr>
      </w:pPr>
      <w:bookmarkStart w:id="2" w:name="_GoBack"/>
      <w:bookmarkEnd w:id="2"/>
    </w:p>
    <w:p w:rsidR="006425BD" w:rsidRDefault="006425BD" w:rsidP="006425B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593E40" wp14:editId="08B61C8F">
            <wp:extent cx="2336800" cy="1885950"/>
            <wp:effectExtent l="0" t="0" r="6350" b="0"/>
            <wp:docPr id="7" name="Bildobjekt 7" descr="C:\Users\Kristina\AppData\Local\Microsoft\Windows\INetCache\Content.MSO\9FBFEA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a\AppData\Local\Microsoft\Windows\INetCache\Content.MSO\9FBFEA0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BD" w:rsidRDefault="006425BD" w:rsidP="006425BD">
      <w:pPr>
        <w:rPr>
          <w:rFonts w:cstheme="minorHAnsi"/>
        </w:rPr>
      </w:pPr>
    </w:p>
    <w:p w:rsidR="006425BD" w:rsidRPr="00BE2C09" w:rsidRDefault="006425BD" w:rsidP="006425BD">
      <w:pPr>
        <w:rPr>
          <w:rFonts w:cstheme="minorHAnsi"/>
        </w:rPr>
      </w:pPr>
      <w:r w:rsidRPr="00BE2C09">
        <w:rPr>
          <w:rFonts w:cstheme="minorHAnsi"/>
        </w:rPr>
        <w:t>1)</w:t>
      </w:r>
      <w:r>
        <w:rPr>
          <w:rFonts w:cstheme="minorHAnsi"/>
        </w:rPr>
        <w:t xml:space="preserve"> </w:t>
      </w:r>
      <w:r w:rsidRPr="00BE2C09">
        <w:rPr>
          <w:rFonts w:cstheme="minorHAnsi"/>
        </w:rPr>
        <w:t xml:space="preserve">Tvätta </w:t>
      </w:r>
      <w:r>
        <w:rPr>
          <w:rFonts w:cstheme="minorHAnsi"/>
        </w:rPr>
        <w:t xml:space="preserve">eventuellt </w:t>
      </w:r>
      <w:r w:rsidRPr="00BE2C09">
        <w:rPr>
          <w:rFonts w:cstheme="minorHAnsi"/>
        </w:rPr>
        <w:t xml:space="preserve">med koksalt. </w:t>
      </w:r>
    </w:p>
    <w:p w:rsidR="006425BD" w:rsidRPr="00BE2C09" w:rsidRDefault="006425BD" w:rsidP="006425BD">
      <w:pPr>
        <w:rPr>
          <w:rFonts w:cstheme="minorHAnsi"/>
        </w:rPr>
      </w:pPr>
      <w:r w:rsidRPr="00BE2C09">
        <w:rPr>
          <w:rFonts w:cstheme="minorHAnsi"/>
        </w:rPr>
        <w:t xml:space="preserve">2) Bedöva med </w:t>
      </w:r>
      <w:r>
        <w:rPr>
          <w:rFonts w:cstheme="minorHAnsi"/>
        </w:rPr>
        <w:t>C</w:t>
      </w:r>
      <w:r w:rsidRPr="00BE2C09">
        <w:rPr>
          <w:rFonts w:cstheme="minorHAnsi"/>
        </w:rPr>
        <w:t>arbocain</w:t>
      </w:r>
      <w:r>
        <w:rPr>
          <w:rFonts w:cstheme="minorHAnsi"/>
        </w:rPr>
        <w:t xml:space="preserve"> adrenalin 10 mg/ml ca 4-5 ml</w:t>
      </w:r>
      <w:r w:rsidRPr="00BE2C09">
        <w:rPr>
          <w:rFonts w:cstheme="minorHAnsi"/>
        </w:rPr>
        <w:t xml:space="preserve">. Tunn nål. Var observant </w:t>
      </w:r>
      <w:r>
        <w:rPr>
          <w:rFonts w:cstheme="minorHAnsi"/>
        </w:rPr>
        <w:t>s</w:t>
      </w:r>
      <w:r w:rsidRPr="00BE2C09">
        <w:rPr>
          <w:rFonts w:cstheme="minorHAnsi"/>
        </w:rPr>
        <w:t xml:space="preserve">å att inte bedövningsmedlet hamnar inuti abscessen – </w:t>
      </w:r>
      <w:r>
        <w:rPr>
          <w:rFonts w:cstheme="minorHAnsi"/>
        </w:rPr>
        <w:t>d</w:t>
      </w:r>
      <w:r w:rsidRPr="00BE2C09">
        <w:rPr>
          <w:rFonts w:cstheme="minorHAnsi"/>
        </w:rPr>
        <w:t>en ska hamna i huden ova</w:t>
      </w:r>
      <w:r>
        <w:rPr>
          <w:rFonts w:cstheme="minorHAnsi"/>
        </w:rPr>
        <w:t>n</w:t>
      </w:r>
      <w:r w:rsidRPr="00BE2C09">
        <w:rPr>
          <w:rFonts w:cstheme="minorHAnsi"/>
        </w:rPr>
        <w:t>för och på sidorna.</w:t>
      </w:r>
    </w:p>
    <w:p w:rsidR="006425BD" w:rsidRPr="00AD41A0" w:rsidRDefault="006425BD" w:rsidP="006425BD">
      <w:pPr>
        <w:rPr>
          <w:rFonts w:cstheme="minorHAnsi"/>
        </w:rPr>
      </w:pPr>
      <w:r>
        <w:rPr>
          <w:rFonts w:cstheme="minorHAnsi"/>
        </w:rPr>
        <w:t>3</w:t>
      </w:r>
      <w:r w:rsidRPr="00AD41A0">
        <w:rPr>
          <w:rFonts w:cstheme="minorHAnsi"/>
        </w:rPr>
        <w:t>) Incisionen ska läggas på insidan av labia minora, strax utanför hymenkanten</w:t>
      </w:r>
      <w:r>
        <w:rPr>
          <w:rFonts w:cstheme="minorHAnsi"/>
        </w:rPr>
        <w:t>, invid den naturliga öppningen som finns i Bartolins körtel</w:t>
      </w:r>
      <w:r w:rsidRPr="00AD41A0">
        <w:rPr>
          <w:rFonts w:cstheme="minorHAnsi"/>
        </w:rPr>
        <w:t>. Ett 0,5 cm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>långt snitt räcker för att tömma abscessen. Behöver incisionen vidgas, använd en liten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>peang (mygga).</w:t>
      </w:r>
    </w:p>
    <w:p w:rsidR="006425BD" w:rsidRDefault="006425BD" w:rsidP="006425BD">
      <w:pPr>
        <w:rPr>
          <w:rFonts w:cstheme="minorHAnsi"/>
        </w:rPr>
      </w:pPr>
      <w:r>
        <w:rPr>
          <w:rFonts w:cstheme="minorHAnsi"/>
        </w:rPr>
        <w:t>4</w:t>
      </w:r>
      <w:r w:rsidRPr="00AD41A0">
        <w:rPr>
          <w:rFonts w:cstheme="minorHAnsi"/>
        </w:rPr>
        <w:t xml:space="preserve">) </w:t>
      </w:r>
      <w:r>
        <w:rPr>
          <w:rFonts w:cstheme="minorHAnsi"/>
        </w:rPr>
        <w:t xml:space="preserve">Kläm ut så mycket som möjligt av innehållet. Spola rent med koksalt. </w:t>
      </w:r>
    </w:p>
    <w:p w:rsidR="006425BD" w:rsidRDefault="006425BD" w:rsidP="006425BD">
      <w:pPr>
        <w:rPr>
          <w:rFonts w:cstheme="minorHAnsi"/>
        </w:rPr>
      </w:pPr>
      <w:r>
        <w:rPr>
          <w:rFonts w:cstheme="minorHAnsi"/>
        </w:rPr>
        <w:t xml:space="preserve">5) </w:t>
      </w:r>
      <w:r w:rsidRPr="00AD41A0">
        <w:rPr>
          <w:rFonts w:cstheme="minorHAnsi"/>
        </w:rPr>
        <w:t>Inläggning av Word kateter.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>Ballongen fylls med 2-4 ml koksalt eller sterilt vatten.</w:t>
      </w:r>
      <w:r>
        <w:rPr>
          <w:rFonts w:cstheme="minorHAnsi"/>
        </w:rPr>
        <w:t xml:space="preserve"> Var försiktig så att inte nålen skadar själva wordkatetern, det är viktigt att den förs in rakt. Ett tips kan vara att sätta nålen på plats innan Wordkatetern anlägges.</w:t>
      </w:r>
    </w:p>
    <w:p w:rsidR="006425BD" w:rsidRDefault="006425BD" w:rsidP="006425BD">
      <w:pPr>
        <w:rPr>
          <w:rFonts w:cstheme="minorHAnsi"/>
        </w:rPr>
      </w:pPr>
    </w:p>
    <w:p w:rsidR="006425BD" w:rsidRPr="00AD41A0" w:rsidRDefault="006425BD" w:rsidP="006425B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723E5D" wp14:editId="32CF5A44">
            <wp:extent cx="2705100" cy="1695450"/>
            <wp:effectExtent l="0" t="0" r="0" b="0"/>
            <wp:docPr id="8" name="Bildobjekt 8" descr="C:\Users\Kristina\AppData\Local\Microsoft\Windows\INetCache\Content.MSO\98589F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a\AppData\Local\Microsoft\Windows\INetCache\Content.MSO\98589F9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BD" w:rsidRDefault="006425BD" w:rsidP="006425BD">
      <w:pPr>
        <w:rPr>
          <w:rFonts w:cstheme="minorHAnsi"/>
        </w:rPr>
      </w:pPr>
    </w:p>
    <w:p w:rsidR="006425BD" w:rsidRPr="00AD41A0" w:rsidRDefault="006425BD" w:rsidP="006425BD">
      <w:pPr>
        <w:rPr>
          <w:rFonts w:cstheme="minorHAnsi"/>
        </w:rPr>
      </w:pPr>
      <w:r>
        <w:rPr>
          <w:rFonts w:cstheme="minorHAnsi"/>
        </w:rPr>
        <w:t>6</w:t>
      </w:r>
      <w:r w:rsidRPr="00AD41A0">
        <w:rPr>
          <w:rFonts w:cstheme="minorHAnsi"/>
        </w:rPr>
        <w:t>) Word katete</w:t>
      </w:r>
      <w:r>
        <w:rPr>
          <w:rFonts w:cstheme="minorHAnsi"/>
        </w:rPr>
        <w:t>rn kan föras in i slidan så den inte skaver i slidmynningen.</w:t>
      </w:r>
      <w:r w:rsidRPr="00AD41A0">
        <w:rPr>
          <w:rFonts w:cstheme="minorHAnsi"/>
        </w:rPr>
        <w:t xml:space="preserve"> </w:t>
      </w:r>
      <w:r>
        <w:rPr>
          <w:rFonts w:cstheme="minorHAnsi"/>
        </w:rPr>
        <w:t>Den</w:t>
      </w:r>
      <w:r w:rsidRPr="00AD41A0">
        <w:rPr>
          <w:rFonts w:cstheme="minorHAnsi"/>
        </w:rPr>
        <w:t xml:space="preserve"> ska </w:t>
      </w:r>
      <w:r>
        <w:rPr>
          <w:rFonts w:cstheme="minorHAnsi"/>
        </w:rPr>
        <w:t>sitta</w:t>
      </w:r>
      <w:r w:rsidRPr="00AD41A0">
        <w:rPr>
          <w:rFonts w:cstheme="minorHAnsi"/>
        </w:rPr>
        <w:t xml:space="preserve"> kvar i 3-4 veckor.</w:t>
      </w:r>
    </w:p>
    <w:p w:rsidR="006425BD" w:rsidRDefault="006425BD" w:rsidP="006425BD">
      <w:pPr>
        <w:rPr>
          <w:rFonts w:cstheme="minorHAnsi"/>
        </w:rPr>
      </w:pPr>
    </w:p>
    <w:p w:rsidR="006425BD" w:rsidRPr="00AD41A0" w:rsidRDefault="006425BD" w:rsidP="006425BD">
      <w:pPr>
        <w:rPr>
          <w:rFonts w:cstheme="minorHAnsi"/>
        </w:rPr>
      </w:pPr>
      <w:r w:rsidRPr="00AD41A0">
        <w:rPr>
          <w:rFonts w:cstheme="minorHAnsi"/>
        </w:rPr>
        <w:t>Samlag kan fungera med katetern på plats när svullnad och smärtor minskat.</w:t>
      </w:r>
    </w:p>
    <w:p w:rsidR="006425BD" w:rsidRDefault="006425BD" w:rsidP="006425BD">
      <w:pPr>
        <w:rPr>
          <w:rFonts w:cstheme="minorHAnsi"/>
        </w:rPr>
      </w:pPr>
    </w:p>
    <w:p w:rsidR="006425BD" w:rsidRDefault="006425BD" w:rsidP="006425BD">
      <w:pPr>
        <w:rPr>
          <w:rFonts w:cstheme="minorHAnsi"/>
        </w:rPr>
      </w:pPr>
      <w:r w:rsidRPr="00AD41A0">
        <w:rPr>
          <w:rFonts w:cstheme="minorHAnsi"/>
        </w:rPr>
        <w:t>Återbesök planeras efter 3-4 veckor för att dra ut katetern</w:t>
      </w:r>
      <w:r>
        <w:rPr>
          <w:rFonts w:cstheme="minorHAnsi"/>
        </w:rPr>
        <w:t xml:space="preserve">, om möjligt hos sjuksköterska. </w:t>
      </w:r>
      <w:r w:rsidRPr="00AD41A0">
        <w:rPr>
          <w:rFonts w:cstheme="minorHAnsi"/>
        </w:rPr>
        <w:t xml:space="preserve">Det är inte ovanligt att katetern ramlar ut av sig själv redan tidigare. </w:t>
      </w:r>
      <w:r>
        <w:rPr>
          <w:rFonts w:cstheme="minorHAnsi"/>
        </w:rPr>
        <w:t xml:space="preserve">Ramlar den ut inom 5 dagar efter insättning bör patienten söka igen – eventuellt behöver en ny Word-kateter införas. </w:t>
      </w:r>
      <w:r w:rsidRPr="00AD41A0">
        <w:rPr>
          <w:rFonts w:cstheme="minorHAnsi"/>
        </w:rPr>
        <w:t>Om patienten har smärtor eller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 xml:space="preserve">tryckkänsla några dagar efter att katetern har lagts in, trots att inflammationen </w:t>
      </w:r>
      <w:r w:rsidRPr="00AD41A0">
        <w:rPr>
          <w:rFonts w:cstheme="minorHAnsi"/>
        </w:rPr>
        <w:lastRenderedPageBreak/>
        <w:t>har minskat,</w:t>
      </w:r>
      <w:r>
        <w:rPr>
          <w:rFonts w:cstheme="minorHAnsi"/>
        </w:rPr>
        <w:t xml:space="preserve"> </w:t>
      </w:r>
      <w:r w:rsidRPr="00AD41A0">
        <w:rPr>
          <w:rFonts w:cstheme="minorHAnsi"/>
        </w:rPr>
        <w:t>kan man pröva att släppa ut 1-2 ml vätska från ballongen.</w:t>
      </w:r>
    </w:p>
    <w:p w:rsidR="006425BD" w:rsidRPr="00AD41A0" w:rsidRDefault="006425BD" w:rsidP="006425BD">
      <w:pPr>
        <w:rPr>
          <w:rFonts w:cstheme="minorHAnsi"/>
        </w:rPr>
      </w:pPr>
    </w:p>
    <w:p w:rsidR="006425BD" w:rsidRPr="00AD41A0" w:rsidRDefault="006425BD" w:rsidP="006425BD">
      <w:pPr>
        <w:rPr>
          <w:rFonts w:cstheme="minorHAnsi"/>
        </w:rPr>
      </w:pPr>
      <w:r w:rsidRPr="00AD41A0">
        <w:rPr>
          <w:rFonts w:cstheme="minorHAnsi"/>
        </w:rPr>
        <w:t xml:space="preserve">Risken för recidiv är osäker, men uppskattas till </w:t>
      </w:r>
      <w:r>
        <w:rPr>
          <w:rFonts w:cstheme="minorHAnsi"/>
        </w:rPr>
        <w:t xml:space="preserve">ca 10-20% </w:t>
      </w:r>
      <w:r w:rsidRPr="00AD41A0">
        <w:rPr>
          <w:rFonts w:cstheme="minorHAnsi"/>
        </w:rPr>
        <w:t xml:space="preserve"> och är jämförbar med resultaten</w:t>
      </w:r>
    </w:p>
    <w:p w:rsidR="006425BD" w:rsidRDefault="006425BD" w:rsidP="006425BD">
      <w:pPr>
        <w:rPr>
          <w:rFonts w:cstheme="minorHAnsi"/>
        </w:rPr>
      </w:pPr>
      <w:r w:rsidRPr="00AD41A0">
        <w:rPr>
          <w:rFonts w:cstheme="minorHAnsi"/>
        </w:rPr>
        <w:t>efter marsipulation.</w:t>
      </w:r>
    </w:p>
    <w:p w:rsidR="006425BD" w:rsidRDefault="006425BD" w:rsidP="006425BD">
      <w:pPr>
        <w:rPr>
          <w:rFonts w:cstheme="minorHAnsi"/>
        </w:rPr>
      </w:pPr>
    </w:p>
    <w:p w:rsidR="006425BD" w:rsidRPr="00D9442A" w:rsidRDefault="006425BD" w:rsidP="006425BD">
      <w:pPr>
        <w:rPr>
          <w:rFonts w:cstheme="minorHAnsi"/>
          <w:b/>
          <w:sz w:val="28"/>
          <w:szCs w:val="28"/>
          <w:u w:val="single"/>
        </w:rPr>
      </w:pPr>
      <w:r w:rsidRPr="00D9442A">
        <w:rPr>
          <w:rFonts w:cstheme="minorHAnsi"/>
          <w:b/>
          <w:sz w:val="28"/>
          <w:szCs w:val="28"/>
          <w:u w:val="single"/>
        </w:rPr>
        <w:t>Marsupialisation</w:t>
      </w:r>
    </w:p>
    <w:p w:rsidR="006425BD" w:rsidRDefault="006425BD" w:rsidP="006425BD">
      <w:pPr>
        <w:rPr>
          <w:rFonts w:cstheme="minorHAnsi"/>
        </w:rPr>
      </w:pPr>
    </w:p>
    <w:p w:rsidR="006425BD" w:rsidRDefault="006425BD" w:rsidP="006425BD">
      <w:pPr>
        <w:rPr>
          <w:rFonts w:cstheme="minorHAnsi"/>
        </w:rPr>
      </w:pPr>
      <w:r>
        <w:rPr>
          <w:rFonts w:cstheme="minorHAnsi"/>
        </w:rPr>
        <w:t>Innebär ett större ingrepp än Word-kateter. Sker oftast på operation i narkos men kan göras i vaket tillstånd med lokalanestesi eller PDB hos motiverad patient.</w:t>
      </w:r>
    </w:p>
    <w:p w:rsidR="006425BD" w:rsidRDefault="006425BD" w:rsidP="006425BD">
      <w:pPr>
        <w:rPr>
          <w:rFonts w:cstheme="minorHAnsi"/>
        </w:rPr>
      </w:pPr>
    </w:p>
    <w:p w:rsidR="006425BD" w:rsidRDefault="006425BD" w:rsidP="006425BD">
      <w:pPr>
        <w:rPr>
          <w:rFonts w:cstheme="minorHAnsi"/>
        </w:rPr>
      </w:pPr>
      <w:r w:rsidRPr="00546846">
        <w:rPr>
          <w:rFonts w:cstheme="minorHAnsi"/>
          <w:noProof/>
        </w:rPr>
        <w:drawing>
          <wp:inline distT="0" distB="0" distL="0" distR="0" wp14:anchorId="57C6AC6E" wp14:editId="7BD1EDF8">
            <wp:extent cx="5760720" cy="2840736"/>
            <wp:effectExtent l="0" t="0" r="0" b="0"/>
            <wp:docPr id="4" name="Bildobjekt 4" descr="H:\marsupia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rsupialis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BD" w:rsidRDefault="006425BD" w:rsidP="006425BD">
      <w:pPr>
        <w:rPr>
          <w:rFonts w:cstheme="minorHAnsi"/>
        </w:rPr>
      </w:pPr>
    </w:p>
    <w:p w:rsidR="006425BD" w:rsidRPr="00D9442A" w:rsidRDefault="006425BD" w:rsidP="006425BD">
      <w:pPr>
        <w:rPr>
          <w:rFonts w:cstheme="minorHAnsi"/>
        </w:rPr>
      </w:pPr>
      <w:r w:rsidRPr="00D9442A">
        <w:rPr>
          <w:rFonts w:cstheme="minorHAnsi"/>
        </w:rPr>
        <w:t>1)</w:t>
      </w:r>
      <w:r>
        <w:rPr>
          <w:rFonts w:cstheme="minorHAnsi"/>
        </w:rPr>
        <w:t xml:space="preserve"> </w:t>
      </w:r>
      <w:r w:rsidRPr="00D9442A">
        <w:rPr>
          <w:rFonts w:cstheme="minorHAnsi"/>
        </w:rPr>
        <w:t xml:space="preserve">En oval (eller triangulär) incision utföres på insidan av labia minora, strax utanför hymenkanten, invid den öppningen till </w:t>
      </w:r>
      <w:r>
        <w:rPr>
          <w:rFonts w:cstheme="minorHAnsi"/>
        </w:rPr>
        <w:t>B</w:t>
      </w:r>
      <w:r w:rsidRPr="00D9442A">
        <w:rPr>
          <w:rFonts w:cstheme="minorHAnsi"/>
        </w:rPr>
        <w:t>artolins körtel.</w:t>
      </w:r>
    </w:p>
    <w:p w:rsidR="006425BD" w:rsidRDefault="006425BD" w:rsidP="006425BD">
      <w:r>
        <w:t>2) Abscessen tömmes och renspolas. Ev. septering kan delas med ett finger eller peang.</w:t>
      </w:r>
    </w:p>
    <w:p w:rsidR="006425BD" w:rsidRDefault="006425BD" w:rsidP="006425BD">
      <w:r>
        <w:t>3) Cyst-kapseln sys upp mot hudkanten med fortlöpande eller enstaka sutur med tunn resorberbar tråd t.ex Vicryl eller Monocryl.</w:t>
      </w:r>
    </w:p>
    <w:p w:rsidR="006425BD" w:rsidRDefault="006425BD" w:rsidP="006425BD"/>
    <w:p w:rsidR="006425BD" w:rsidRPr="00D9442A" w:rsidRDefault="006425BD" w:rsidP="006425BD">
      <w:r>
        <w:t>I normalfallet kan patienten gå hem direkt efter operation. Hon ska instrueras att hålla rent med handdusch och ta kontakt ifall hon får tillbaka besvären. Återbesök behövs i normalfallet inte. Sårhålan ska läka inifrån och ut – om operationen lyckats bildas en liten kanal där Bartolins körtel kan tömma sig.</w:t>
      </w:r>
    </w:p>
    <w:p w:rsidR="006425BD" w:rsidRDefault="006425BD" w:rsidP="006425BD">
      <w:pPr>
        <w:rPr>
          <w:rFonts w:cstheme="minorHAnsi"/>
        </w:rPr>
      </w:pPr>
    </w:p>
    <w:p w:rsidR="006425BD" w:rsidRPr="00223576" w:rsidRDefault="006425BD">
      <w:pPr>
        <w:widowControl/>
        <w:rPr>
          <w:rFonts w:cstheme="minorHAnsi"/>
        </w:rPr>
      </w:pPr>
      <w:r w:rsidRPr="00223576">
        <w:rPr>
          <w:rFonts w:cstheme="minorHAnsi"/>
        </w:rPr>
        <w:br w:type="page"/>
      </w:r>
    </w:p>
    <w:p w:rsidR="006425BD" w:rsidRPr="00614BFD" w:rsidRDefault="006425BD" w:rsidP="006425BD">
      <w:pPr>
        <w:rPr>
          <w:rFonts w:cstheme="minorHAnsi"/>
          <w:lang w:val="en-US"/>
        </w:rPr>
      </w:pPr>
      <w:r w:rsidRPr="00614BFD">
        <w:rPr>
          <w:rFonts w:cstheme="minorHAnsi"/>
          <w:lang w:val="en-US"/>
        </w:rPr>
        <w:t>Referenser:</w:t>
      </w:r>
    </w:p>
    <w:p w:rsidR="006425BD" w:rsidRPr="00614BFD" w:rsidRDefault="006425BD" w:rsidP="006425BD">
      <w:pPr>
        <w:rPr>
          <w:rFonts w:cstheme="minorHAnsi"/>
          <w:lang w:val="en-US"/>
        </w:rPr>
      </w:pPr>
      <w:r w:rsidRPr="00614BFD">
        <w:rPr>
          <w:rFonts w:cstheme="minorHAnsi"/>
          <w:lang w:val="en-US"/>
        </w:rPr>
        <w:t xml:space="preserve">1) Shlamovitz, G.Z. </w:t>
      </w:r>
      <w:r w:rsidRPr="00614BFD">
        <w:rPr>
          <w:rFonts w:cstheme="minorHAnsi"/>
          <w:i/>
          <w:lang w:val="en-US"/>
        </w:rPr>
        <w:t>Drainage, Bartholin Abscess</w:t>
      </w:r>
      <w:r w:rsidRPr="00614BFD">
        <w:rPr>
          <w:rFonts w:cstheme="minorHAnsi"/>
          <w:lang w:val="en-US"/>
        </w:rPr>
        <w:t xml:space="preserve">. 2010; </w:t>
      </w:r>
      <w:hyperlink r:id="rId11" w:history="1">
        <w:r w:rsidRPr="00614BFD">
          <w:rPr>
            <w:rFonts w:cstheme="minorHAnsi"/>
            <w:lang w:val="en-US"/>
          </w:rPr>
          <w:t>http://emedicine.medscape.com/article/80260</w:t>
        </w:r>
      </w:hyperlink>
      <w:r w:rsidRPr="00614BFD">
        <w:rPr>
          <w:rFonts w:cstheme="minorHAnsi"/>
          <w:lang w:val="en-US"/>
        </w:rPr>
        <w:t>.</w:t>
      </w:r>
    </w:p>
    <w:p w:rsidR="006425BD" w:rsidRPr="00614BFD" w:rsidRDefault="006425BD" w:rsidP="006425BD">
      <w:pPr>
        <w:rPr>
          <w:rFonts w:cstheme="minorHAnsi"/>
          <w:lang w:val="en-US"/>
        </w:rPr>
      </w:pPr>
      <w:r w:rsidRPr="00953294">
        <w:rPr>
          <w:rFonts w:cstheme="minorHAnsi"/>
          <w:lang w:val="en-US"/>
        </w:rPr>
        <w:t xml:space="preserve">2) Kroese JK et al, </w:t>
      </w:r>
      <w:r w:rsidRPr="00614BFD">
        <w:rPr>
          <w:rFonts w:cstheme="minorHAnsi"/>
          <w:i/>
          <w:lang w:val="en-US"/>
        </w:rPr>
        <w:t>Word catheter and marsupialisation in women with a cyst or abscess of the Bartholin gland</w:t>
      </w:r>
      <w:r w:rsidRPr="00953294">
        <w:rPr>
          <w:rFonts w:cstheme="minorHAnsi"/>
          <w:lang w:val="en-US"/>
        </w:rPr>
        <w:t xml:space="preserve"> (WoMan‐trial): a randomised clinical trial. </w:t>
      </w:r>
      <w:r w:rsidRPr="00614BFD">
        <w:rPr>
          <w:rFonts w:cstheme="minorHAnsi"/>
          <w:lang w:val="en-US"/>
        </w:rPr>
        <w:t>BJOG 2017, vol 24, Issue 2, pp 243-249.</w:t>
      </w:r>
    </w:p>
    <w:p w:rsidR="006425BD" w:rsidRPr="00614BFD" w:rsidRDefault="006425BD" w:rsidP="006425BD">
      <w:pPr>
        <w:rPr>
          <w:rFonts w:cstheme="minorHAnsi"/>
          <w:lang w:val="en-US"/>
        </w:rPr>
      </w:pPr>
      <w:r w:rsidRPr="00614BFD">
        <w:rPr>
          <w:rFonts w:cstheme="minorHAnsi"/>
          <w:lang w:val="en-US"/>
        </w:rPr>
        <w:t xml:space="preserve">3) </w:t>
      </w:r>
      <w:r w:rsidRPr="00614BFD">
        <w:rPr>
          <w:rFonts w:cstheme="minorHAnsi"/>
          <w:i/>
          <w:lang w:val="en-US"/>
        </w:rPr>
        <w:t>Balloon catheter insertion for Bartholin's cyst or abscess</w:t>
      </w:r>
      <w:r>
        <w:rPr>
          <w:rFonts w:cstheme="minorHAnsi"/>
          <w:lang w:val="en-US"/>
        </w:rPr>
        <w:t xml:space="preserve"> </w:t>
      </w:r>
    </w:p>
    <w:p w:rsidR="006425BD" w:rsidRPr="00614BFD" w:rsidRDefault="006425BD" w:rsidP="006425BD">
      <w:pPr>
        <w:rPr>
          <w:rFonts w:cstheme="minorHAnsi"/>
          <w:lang w:val="en-US"/>
        </w:rPr>
      </w:pPr>
      <w:r w:rsidRPr="00614BFD">
        <w:rPr>
          <w:rFonts w:cstheme="minorHAnsi"/>
          <w:lang w:val="en-US"/>
        </w:rPr>
        <w:t>Interventional procedures guidance [IPG323] Published date: December 2009</w:t>
      </w:r>
      <w:bookmarkEnd w:id="1"/>
    </w:p>
    <w:p w:rsidR="006330C0" w:rsidRPr="006425BD" w:rsidRDefault="006330C0">
      <w:pPr>
        <w:rPr>
          <w:lang w:val="en-US"/>
        </w:rPr>
      </w:pPr>
    </w:p>
    <w:p w:rsidR="0073674B" w:rsidRPr="006425BD" w:rsidRDefault="0073674B">
      <w:pPr>
        <w:widowControl/>
        <w:rPr>
          <w:b/>
          <w:sz w:val="28"/>
          <w:szCs w:val="28"/>
          <w:lang w:val="en-US"/>
        </w:rPr>
      </w:pPr>
    </w:p>
    <w:p w:rsidR="00B35EEF" w:rsidRPr="006425BD" w:rsidRDefault="00B35EEF" w:rsidP="00B35EEF">
      <w:pPr>
        <w:widowControl/>
        <w:rPr>
          <w:b/>
          <w:sz w:val="28"/>
          <w:szCs w:val="28"/>
          <w:lang w:val="en-US"/>
        </w:rPr>
      </w:pPr>
    </w:p>
    <w:p w:rsidR="008A5C91" w:rsidRPr="006425BD" w:rsidRDefault="008A5C91" w:rsidP="00B35EEF">
      <w:pPr>
        <w:widowControl/>
        <w:rPr>
          <w:b/>
          <w:sz w:val="28"/>
          <w:szCs w:val="28"/>
          <w:lang w:val="en-US"/>
        </w:rPr>
      </w:pPr>
    </w:p>
    <w:p w:rsidR="00B35EEF" w:rsidRDefault="00B35EEF" w:rsidP="00B35EEF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Versionshistorik</w:t>
      </w:r>
    </w:p>
    <w:p w:rsidR="00B35EEF" w:rsidRDefault="00B35EEF" w:rsidP="00B35EEF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B35EEF" w:rsidTr="00B35EE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5EEF" w:rsidRDefault="00B35EEF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5EEF" w:rsidRDefault="00B35EEF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5EEF" w:rsidRDefault="00B35EEF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5EEF" w:rsidRDefault="00B35EEF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Ansvarig</w:t>
            </w:r>
          </w:p>
        </w:tc>
      </w:tr>
      <w:tr w:rsidR="002E7FC2" w:rsidTr="00B35EE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FC2" w:rsidRDefault="002E7FC2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FC2" w:rsidRDefault="002E7FC2">
            <w:r>
              <w:t>2020-12-10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FC2" w:rsidRDefault="002E7FC2">
            <w:r>
              <w:t>Förlängd utan revidering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FC2" w:rsidRDefault="002E7FC2">
            <w:r>
              <w:t>Ronak Perot</w:t>
            </w:r>
          </w:p>
        </w:tc>
      </w:tr>
      <w:tr w:rsidR="006425BD" w:rsidTr="00B35EE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5BD" w:rsidRDefault="006425BD"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5BD" w:rsidRDefault="006425BD">
            <w:r>
              <w:t>2019-01-30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5BD" w:rsidRDefault="006425BD">
            <w:r>
              <w:t>Uppdaterat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5BD" w:rsidRDefault="006425BD">
            <w:r>
              <w:t>Tekla Lind</w:t>
            </w:r>
          </w:p>
        </w:tc>
      </w:tr>
      <w:tr w:rsidR="00B35EEF" w:rsidTr="00B35EE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EEF" w:rsidRDefault="00B35EEF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EEF" w:rsidRDefault="00B35EEF">
            <w:r>
              <w:t>2017-03-14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EEF" w:rsidRDefault="00B35EEF">
            <w:r>
              <w:t>Ny behandling + illustration</w:t>
            </w:r>
            <w:r w:rsidR="008A5C91">
              <w:t>, utarbetad av Bengt Johansson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EEF" w:rsidRDefault="008A5C91">
            <w:r>
              <w:t>Ameli Norling</w:t>
            </w:r>
          </w:p>
        </w:tc>
      </w:tr>
      <w:tr w:rsidR="00B35EEF" w:rsidTr="00B35EE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EEF" w:rsidRDefault="00B35EEF"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EEF" w:rsidRDefault="00B35EEF">
            <w:r>
              <w:t>2014-10-07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EEF" w:rsidRDefault="00B35EEF">
            <w:r>
              <w:t>Dokument från mapp, version 2011 11 08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EEF" w:rsidRDefault="00B35EEF">
            <w:r>
              <w:t>Anette Roos</w:t>
            </w:r>
          </w:p>
        </w:tc>
      </w:tr>
    </w:tbl>
    <w:p w:rsidR="00ED1C5C" w:rsidRPr="009D2946" w:rsidRDefault="00ED1C5C" w:rsidP="008A5C91">
      <w:pPr>
        <w:widowControl/>
        <w:rPr>
          <w:b/>
          <w:sz w:val="28"/>
          <w:szCs w:val="28"/>
        </w:rPr>
      </w:pPr>
    </w:p>
    <w:sectPr w:rsidR="00ED1C5C" w:rsidRPr="009D2946" w:rsidSect="00FE15A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87A" w:rsidRDefault="0061187A" w:rsidP="00F47081">
      <w:r>
        <w:separator/>
      </w:r>
    </w:p>
  </w:endnote>
  <w:endnote w:type="continuationSeparator" w:id="0">
    <w:p w:rsidR="0061187A" w:rsidRDefault="0061187A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1E5B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1E5B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Kar2-13425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1E5B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1E5B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1E5B5C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2020-12-11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FC1A9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1E5B5C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1E5B5C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1E5B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1E5B5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Kar2-13425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1E5B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1E5B5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1E5B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2020-12-11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FC1A9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1E5B5C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87A" w:rsidRDefault="0061187A" w:rsidP="00F47081">
      <w:r>
        <w:separator/>
      </w:r>
    </w:p>
  </w:footnote>
  <w:footnote w:type="continuationSeparator" w:id="0">
    <w:p w:rsidR="0061187A" w:rsidRDefault="0061187A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1E5B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3" w:name="Dokumenttyp_sf"/>
          <w:r>
            <w:rPr>
              <w:rFonts w:asciiTheme="minorHAnsi" w:hAnsiTheme="minorHAnsi"/>
            </w:rPr>
            <w:t>Styrande lokalt dokument</w:t>
          </w:r>
          <w:bookmarkEnd w:id="3"/>
        </w:p>
      </w:tc>
      <w:tc>
        <w:tcPr>
          <w:tcW w:w="1346" w:type="dxa"/>
        </w:tcPr>
        <w:p w:rsidR="001C5ECA" w:rsidRPr="00123992" w:rsidRDefault="00FC1A9C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A5C91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6425BD">
            <w:rPr>
              <w:rFonts w:asciiTheme="minorHAnsi" w:hAnsiTheme="minorHAnsi"/>
              <w:noProof/>
            </w:rPr>
            <w:fldChar w:fldCharType="begin"/>
          </w:r>
          <w:r w:rsidR="006425B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6425BD">
            <w:rPr>
              <w:rFonts w:asciiTheme="minorHAnsi" w:hAnsiTheme="minorHAnsi"/>
              <w:noProof/>
            </w:rPr>
            <w:fldChar w:fldCharType="separate"/>
          </w:r>
          <w:r w:rsidR="008A5C91" w:rsidRPr="008A5C91">
            <w:rPr>
              <w:rFonts w:asciiTheme="minorHAnsi" w:hAnsiTheme="minorHAnsi"/>
              <w:noProof/>
            </w:rPr>
            <w:t>2</w:t>
          </w:r>
          <w:r w:rsidR="006425BD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1E5B5C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FC1A9C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A15D44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6425BD">
            <w:rPr>
              <w:rFonts w:asciiTheme="minorHAnsi" w:hAnsiTheme="minorHAnsi"/>
              <w:noProof/>
            </w:rPr>
            <w:fldChar w:fldCharType="begin"/>
          </w:r>
          <w:r w:rsidR="006425B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6425BD">
            <w:rPr>
              <w:rFonts w:asciiTheme="minorHAnsi" w:hAnsiTheme="minorHAnsi"/>
              <w:noProof/>
            </w:rPr>
            <w:fldChar w:fldCharType="separate"/>
          </w:r>
          <w:r w:rsidR="00A15D44" w:rsidRPr="00A15D44">
            <w:rPr>
              <w:rFonts w:asciiTheme="minorHAnsi" w:hAnsiTheme="minorHAnsi"/>
              <w:noProof/>
            </w:rPr>
            <w:t>1</w:t>
          </w:r>
          <w:r w:rsidR="006425BD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3" w:name="giltigdatum_ny"/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788"/>
    <w:rsid w:val="00047E0F"/>
    <w:rsid w:val="00051851"/>
    <w:rsid w:val="00072F71"/>
    <w:rsid w:val="00080A88"/>
    <w:rsid w:val="00090B26"/>
    <w:rsid w:val="00096241"/>
    <w:rsid w:val="00097170"/>
    <w:rsid w:val="000A6A10"/>
    <w:rsid w:val="000B17EC"/>
    <w:rsid w:val="000B4D3D"/>
    <w:rsid w:val="000C04C7"/>
    <w:rsid w:val="000D4E47"/>
    <w:rsid w:val="000E2609"/>
    <w:rsid w:val="000E3AC9"/>
    <w:rsid w:val="000F3530"/>
    <w:rsid w:val="000F4D65"/>
    <w:rsid w:val="000F7E9B"/>
    <w:rsid w:val="00100FDC"/>
    <w:rsid w:val="00101E13"/>
    <w:rsid w:val="001101F1"/>
    <w:rsid w:val="00123992"/>
    <w:rsid w:val="00130A0A"/>
    <w:rsid w:val="001439DF"/>
    <w:rsid w:val="001504AB"/>
    <w:rsid w:val="001516CD"/>
    <w:rsid w:val="00167279"/>
    <w:rsid w:val="00191D8A"/>
    <w:rsid w:val="0019376C"/>
    <w:rsid w:val="001A1351"/>
    <w:rsid w:val="001B6447"/>
    <w:rsid w:val="001C0FAA"/>
    <w:rsid w:val="001C1BBD"/>
    <w:rsid w:val="001C3913"/>
    <w:rsid w:val="001C5ECA"/>
    <w:rsid w:val="001C71C5"/>
    <w:rsid w:val="001D0E4E"/>
    <w:rsid w:val="001E2505"/>
    <w:rsid w:val="001E5B5C"/>
    <w:rsid w:val="001E6A21"/>
    <w:rsid w:val="001F232D"/>
    <w:rsid w:val="001F2B1C"/>
    <w:rsid w:val="00213E72"/>
    <w:rsid w:val="00223576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E1940"/>
    <w:rsid w:val="002E665F"/>
    <w:rsid w:val="002E7FC2"/>
    <w:rsid w:val="002F6D2D"/>
    <w:rsid w:val="00323C05"/>
    <w:rsid w:val="00331005"/>
    <w:rsid w:val="0033668A"/>
    <w:rsid w:val="00337852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1615B"/>
    <w:rsid w:val="00447EBD"/>
    <w:rsid w:val="00463852"/>
    <w:rsid w:val="00463CE9"/>
    <w:rsid w:val="004644A8"/>
    <w:rsid w:val="00473759"/>
    <w:rsid w:val="00474607"/>
    <w:rsid w:val="00496C86"/>
    <w:rsid w:val="004C5F7B"/>
    <w:rsid w:val="004E0843"/>
    <w:rsid w:val="00502B3C"/>
    <w:rsid w:val="0050385B"/>
    <w:rsid w:val="00505D0F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2A6A"/>
    <w:rsid w:val="005A75E6"/>
    <w:rsid w:val="005B04BF"/>
    <w:rsid w:val="005C1E82"/>
    <w:rsid w:val="005C2A6A"/>
    <w:rsid w:val="005C50FF"/>
    <w:rsid w:val="005C7CF9"/>
    <w:rsid w:val="00602275"/>
    <w:rsid w:val="00605C27"/>
    <w:rsid w:val="0061187A"/>
    <w:rsid w:val="006138C1"/>
    <w:rsid w:val="00624F6F"/>
    <w:rsid w:val="006330C0"/>
    <w:rsid w:val="006425BD"/>
    <w:rsid w:val="00663476"/>
    <w:rsid w:val="0066413E"/>
    <w:rsid w:val="00664ED1"/>
    <w:rsid w:val="006658CE"/>
    <w:rsid w:val="00666B34"/>
    <w:rsid w:val="0067257A"/>
    <w:rsid w:val="00677161"/>
    <w:rsid w:val="0068125E"/>
    <w:rsid w:val="00683315"/>
    <w:rsid w:val="006A552A"/>
    <w:rsid w:val="006C5772"/>
    <w:rsid w:val="006D2669"/>
    <w:rsid w:val="006D3EEA"/>
    <w:rsid w:val="006E318F"/>
    <w:rsid w:val="006E5CD4"/>
    <w:rsid w:val="006E65B0"/>
    <w:rsid w:val="00717B60"/>
    <w:rsid w:val="00720662"/>
    <w:rsid w:val="00730505"/>
    <w:rsid w:val="007310E3"/>
    <w:rsid w:val="00732E14"/>
    <w:rsid w:val="0073674B"/>
    <w:rsid w:val="00756427"/>
    <w:rsid w:val="00762575"/>
    <w:rsid w:val="0076688B"/>
    <w:rsid w:val="00773423"/>
    <w:rsid w:val="00780BD3"/>
    <w:rsid w:val="007825F9"/>
    <w:rsid w:val="00784D4F"/>
    <w:rsid w:val="00792109"/>
    <w:rsid w:val="00797154"/>
    <w:rsid w:val="007A7CD8"/>
    <w:rsid w:val="007C46E0"/>
    <w:rsid w:val="007C481A"/>
    <w:rsid w:val="007D561A"/>
    <w:rsid w:val="007F0E09"/>
    <w:rsid w:val="00820E06"/>
    <w:rsid w:val="0083084E"/>
    <w:rsid w:val="0084434C"/>
    <w:rsid w:val="00872155"/>
    <w:rsid w:val="008765DF"/>
    <w:rsid w:val="00877AF7"/>
    <w:rsid w:val="00884C34"/>
    <w:rsid w:val="00887EA3"/>
    <w:rsid w:val="00893D63"/>
    <w:rsid w:val="008956CE"/>
    <w:rsid w:val="008A147E"/>
    <w:rsid w:val="008A5C91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A4B51"/>
    <w:rsid w:val="009C2F30"/>
    <w:rsid w:val="009D2946"/>
    <w:rsid w:val="009D51B5"/>
    <w:rsid w:val="009E081E"/>
    <w:rsid w:val="009E23DE"/>
    <w:rsid w:val="009E34D9"/>
    <w:rsid w:val="009E6815"/>
    <w:rsid w:val="009F03FB"/>
    <w:rsid w:val="00A1365F"/>
    <w:rsid w:val="00A15D44"/>
    <w:rsid w:val="00A31276"/>
    <w:rsid w:val="00A44169"/>
    <w:rsid w:val="00A50CC6"/>
    <w:rsid w:val="00A67932"/>
    <w:rsid w:val="00A73FE6"/>
    <w:rsid w:val="00A7734E"/>
    <w:rsid w:val="00A808AE"/>
    <w:rsid w:val="00A80F9E"/>
    <w:rsid w:val="00A83DA6"/>
    <w:rsid w:val="00A86312"/>
    <w:rsid w:val="00AD7B2E"/>
    <w:rsid w:val="00AE2C8C"/>
    <w:rsid w:val="00AF69EE"/>
    <w:rsid w:val="00B00F3E"/>
    <w:rsid w:val="00B2112E"/>
    <w:rsid w:val="00B22B7D"/>
    <w:rsid w:val="00B237A2"/>
    <w:rsid w:val="00B24C48"/>
    <w:rsid w:val="00B35EEF"/>
    <w:rsid w:val="00B46D94"/>
    <w:rsid w:val="00B51B7E"/>
    <w:rsid w:val="00B5688E"/>
    <w:rsid w:val="00B7532A"/>
    <w:rsid w:val="00B81FC6"/>
    <w:rsid w:val="00B85E7F"/>
    <w:rsid w:val="00BA3DB1"/>
    <w:rsid w:val="00BB044B"/>
    <w:rsid w:val="00BB2D58"/>
    <w:rsid w:val="00BB74B1"/>
    <w:rsid w:val="00BC2905"/>
    <w:rsid w:val="00BC2EA1"/>
    <w:rsid w:val="00BD7647"/>
    <w:rsid w:val="00BF186B"/>
    <w:rsid w:val="00C00E92"/>
    <w:rsid w:val="00C05851"/>
    <w:rsid w:val="00C11263"/>
    <w:rsid w:val="00C11EF7"/>
    <w:rsid w:val="00C215F0"/>
    <w:rsid w:val="00C27304"/>
    <w:rsid w:val="00C35941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581"/>
    <w:rsid w:val="00CF4644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A4158"/>
    <w:rsid w:val="00DF3558"/>
    <w:rsid w:val="00DF3638"/>
    <w:rsid w:val="00E169EE"/>
    <w:rsid w:val="00E21228"/>
    <w:rsid w:val="00E46241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47126"/>
    <w:rsid w:val="00F62AA2"/>
    <w:rsid w:val="00F71C24"/>
    <w:rsid w:val="00F8194A"/>
    <w:rsid w:val="00F93951"/>
    <w:rsid w:val="00FA0B46"/>
    <w:rsid w:val="00FB4BA2"/>
    <w:rsid w:val="00FB7D90"/>
    <w:rsid w:val="00FC1A9C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F3C00CEC-976F-475C-9888-FBFDA96C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emedicine.medscape.com/article/8026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71FE1-E180-4FC2-9EFD-BA741103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CCECFCCA</Template>
  <TotalTime>2</TotalTime>
  <Pages>4</Pages>
  <Words>827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Susanne Klintberg</cp:lastModifiedBy>
  <cp:revision>6</cp:revision>
  <cp:lastPrinted>2005-03-23T12:04:00Z</cp:lastPrinted>
  <dcterms:created xsi:type="dcterms:W3CDTF">2020-12-10T07:42:00Z</dcterms:created>
  <dcterms:modified xsi:type="dcterms:W3CDTF">2021-03-04T10:01:00Z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136318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