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B0" w:rsidRDefault="008B6CB0">
      <w:pPr>
        <w:pStyle w:val="Rubrik1"/>
        <w:rPr>
          <w:lang w:val="en-US"/>
        </w:rPr>
      </w:pPr>
      <w:bookmarkStart w:id="0" w:name="Rubrik"/>
    </w:p>
    <w:p w:rsidR="008C2B03" w:rsidRPr="00BA3DB1" w:rsidRDefault="00BB044B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Extrauterin graviditet - diagnostik och behandling"/>
            </w:textInput>
          </w:ffData>
        </w:fldChar>
      </w:r>
      <w:r w:rsidR="00BA3DB1" w:rsidRPr="00BA3DB1">
        <w:instrText xml:space="preserve"> FORMTEXT </w:instrText>
      </w:r>
      <w:r w:rsidR="002B5FCD">
        <w:rPr>
          <w:lang w:val="en-US"/>
        </w:rPr>
      </w:r>
      <w:r>
        <w:rPr>
          <w:lang w:val="en-US"/>
        </w:rPr>
        <w:fldChar w:fldCharType="separate"/>
      </w:r>
      <w:r w:rsidR="002B5FCD">
        <w:rPr>
          <w:lang w:val="en-US"/>
        </w:rPr>
        <w:t>Extrauterin graviditet - diagnostik och behandling</w:t>
      </w:r>
      <w:r>
        <w:rPr>
          <w:lang w:val="en-US"/>
        </w:rPr>
        <w:fldChar w:fldCharType="end"/>
      </w:r>
      <w:bookmarkEnd w:id="0"/>
      <w:r w:rsidR="005253BF" w:rsidRPr="00BA3DB1"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813408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:rsidR="00420B53" w:rsidRDefault="00420B53" w:rsidP="00420B53">
          <w:pPr>
            <w:pStyle w:val="Innehllsfrteckningsrubrik"/>
          </w:pPr>
          <w:r>
            <w:t>Innehållsförteckning</w:t>
          </w:r>
        </w:p>
        <w:p w:rsidR="00420B53" w:rsidRDefault="00420B53" w:rsidP="00420B53">
          <w:pPr>
            <w:pStyle w:val="Innehll1"/>
            <w:tabs>
              <w:tab w:val="righ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PM Extrauterin graviditet - diagnostik och behandling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_Toc319214839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420B53" w:rsidRDefault="00420B53" w:rsidP="00420B53">
          <w:pPr>
            <w:pStyle w:val="Innehll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Symtom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_Toc319214840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420B53" w:rsidRDefault="00420B53" w:rsidP="00420B53">
          <w:pPr>
            <w:pStyle w:val="Innehll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Diagnostik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_Toc319214841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420B53" w:rsidRDefault="00420B53" w:rsidP="00420B53">
          <w:pPr>
            <w:pStyle w:val="Innehll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Diagnostiska överväganden s-hCG + UL- bild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_Toc319214842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420B53" w:rsidRDefault="00420B53" w:rsidP="00420B53">
          <w:pPr>
            <w:pStyle w:val="Innehll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Behandlingsalternativ: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_Toc319214844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420B53" w:rsidRDefault="00420B53" w:rsidP="00420B53">
          <w:pPr>
            <w:pStyle w:val="Innehll3"/>
            <w:tabs>
              <w:tab w:val="left" w:pos="887"/>
              <w:tab w:val="righ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Kirurgi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_Toc319214845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420B53" w:rsidRDefault="00420B53" w:rsidP="00420B53">
          <w:pPr>
            <w:pStyle w:val="Innehll3"/>
            <w:tabs>
              <w:tab w:val="left" w:pos="887"/>
              <w:tab w:val="righ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Medicinsk behandling (metotrexat, MTX)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_Toc319214846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420B53" w:rsidRDefault="00420B53" w:rsidP="00420B53">
          <w:pPr>
            <w:pStyle w:val="Innehll3"/>
            <w:tabs>
              <w:tab w:val="left" w:pos="887"/>
              <w:tab w:val="righ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Expektans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_Toc319214847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420B53" w:rsidRDefault="00420B53" w:rsidP="00420B53">
          <w:pPr>
            <w:pStyle w:val="Innehll3"/>
            <w:tabs>
              <w:tab w:val="left" w:pos="887"/>
              <w:tab w:val="righ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Behandling av atypiska extrauterina graviditeter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_Toc319214848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420B53" w:rsidRDefault="00420B53" w:rsidP="00420B53">
          <w:pPr>
            <w:pStyle w:val="Innehll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Referenser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_Toc319214849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420B53" w:rsidRDefault="00420B53" w:rsidP="00420B53">
          <w:r>
            <w:rPr>
              <w:b/>
              <w:bCs/>
              <w:noProof/>
            </w:rPr>
            <w:fldChar w:fldCharType="end"/>
          </w:r>
        </w:p>
      </w:sdtContent>
    </w:sdt>
    <w:p w:rsidR="00420B53" w:rsidRPr="00E95982" w:rsidRDefault="00420B53" w:rsidP="00420B53"/>
    <w:p w:rsidR="00420B53" w:rsidRPr="00E95982" w:rsidRDefault="00420B53" w:rsidP="00420B53">
      <w:pPr>
        <w:pStyle w:val="Rubrik2"/>
        <w:ind w:left="0"/>
      </w:pPr>
      <w:bookmarkStart w:id="1" w:name="_Toc319214840"/>
      <w:r w:rsidRPr="00E95982">
        <w:t>Symtom</w:t>
      </w:r>
      <w:bookmarkEnd w:id="1"/>
    </w:p>
    <w:p w:rsidR="00420B53" w:rsidRDefault="00420B53" w:rsidP="00420B53">
      <w:pPr>
        <w:pStyle w:val="Liststycke"/>
        <w:numPr>
          <w:ilvl w:val="0"/>
          <w:numId w:val="2"/>
        </w:numPr>
      </w:pPr>
      <w:r>
        <w:t>L</w:t>
      </w:r>
      <w:r w:rsidRPr="00E95982">
        <w:t>ågt sittande</w:t>
      </w:r>
      <w:r>
        <w:t>, ofta ensidiga</w:t>
      </w:r>
      <w:r w:rsidRPr="00E95982">
        <w:t xml:space="preserve"> buksmärtor</w:t>
      </w:r>
      <w:r>
        <w:t xml:space="preserve">, </w:t>
      </w:r>
      <w:r w:rsidRPr="00E95982">
        <w:t xml:space="preserve">dragande/huggande </w:t>
      </w:r>
      <w:r>
        <w:t xml:space="preserve">karaktär, </w:t>
      </w:r>
      <w:r w:rsidRPr="00E95982">
        <w:t xml:space="preserve">ofta som kramper som kommer och går </w:t>
      </w:r>
    </w:p>
    <w:p w:rsidR="00420B53" w:rsidRPr="00E95982" w:rsidRDefault="00420B53" w:rsidP="00420B53">
      <w:pPr>
        <w:pStyle w:val="Liststycke"/>
        <w:numPr>
          <w:ilvl w:val="0"/>
          <w:numId w:val="2"/>
        </w:numPr>
      </w:pPr>
      <w:r>
        <w:t xml:space="preserve">Symtom </w:t>
      </w:r>
      <w:r w:rsidRPr="00E95982">
        <w:t>kan</w:t>
      </w:r>
      <w:r>
        <w:t xml:space="preserve"> ha</w:t>
      </w:r>
      <w:r w:rsidRPr="00E95982">
        <w:t xml:space="preserve"> pågått under flera veckor </w:t>
      </w:r>
      <w:r>
        <w:t xml:space="preserve">eller </w:t>
      </w:r>
      <w:r w:rsidRPr="00E95982">
        <w:t>debut</w:t>
      </w:r>
      <w:r>
        <w:t>era plötsligt</w:t>
      </w:r>
      <w:r w:rsidRPr="00E95982">
        <w:t xml:space="preserve"> </w:t>
      </w:r>
    </w:p>
    <w:p w:rsidR="00420B53" w:rsidRPr="00E95982" w:rsidRDefault="00420B53" w:rsidP="00420B53">
      <w:pPr>
        <w:pStyle w:val="Liststycke"/>
        <w:numPr>
          <w:ilvl w:val="0"/>
          <w:numId w:val="2"/>
        </w:numPr>
      </w:pPr>
      <w:r>
        <w:t>Vaginala b</w:t>
      </w:r>
      <w:r w:rsidRPr="00E95982">
        <w:t>lödningar</w:t>
      </w:r>
      <w:r>
        <w:t xml:space="preserve">, </w:t>
      </w:r>
      <w:r w:rsidRPr="00AF5C60">
        <w:rPr>
          <w:color w:val="000000" w:themeColor="text1"/>
        </w:rPr>
        <w:t xml:space="preserve">ofta småblödningar </w:t>
      </w:r>
    </w:p>
    <w:p w:rsidR="00420B53" w:rsidRDefault="00420B53" w:rsidP="00420B53">
      <w:pPr>
        <w:pStyle w:val="Liststycke"/>
        <w:numPr>
          <w:ilvl w:val="0"/>
          <w:numId w:val="2"/>
        </w:numPr>
      </w:pPr>
      <w:r>
        <w:t>C</w:t>
      </w:r>
      <w:r w:rsidRPr="00E95982">
        <w:t xml:space="preserve">irkulatorisk påverkan vid stora blödningar i buken </w:t>
      </w:r>
    </w:p>
    <w:p w:rsidR="00420B53" w:rsidRDefault="00420B53" w:rsidP="00420B53">
      <w:pPr>
        <w:pStyle w:val="Liststycke"/>
        <w:numPr>
          <w:ilvl w:val="0"/>
          <w:numId w:val="2"/>
        </w:numPr>
      </w:pPr>
      <w:r>
        <w:t xml:space="preserve">Amenorré </w:t>
      </w:r>
    </w:p>
    <w:p w:rsidR="00420B53" w:rsidRPr="00E95982" w:rsidRDefault="00420B53" w:rsidP="00420B53">
      <w:pPr>
        <w:pStyle w:val="Liststycke"/>
        <w:numPr>
          <w:ilvl w:val="0"/>
          <w:numId w:val="2"/>
        </w:numPr>
      </w:pPr>
      <w:r>
        <w:t>Övriga symtom: GI-symtom, tryck mot ändtarm och smärta vid defekation, urinvägsbesvär, referrerad smärta till skulderblad, ömmande bröst</w:t>
      </w:r>
    </w:p>
    <w:p w:rsidR="00420B53" w:rsidRPr="00E95982" w:rsidRDefault="00420B53" w:rsidP="00420B53">
      <w:pPr>
        <w:pStyle w:val="Rubrik2"/>
      </w:pPr>
      <w:bookmarkStart w:id="2" w:name="_Toc319214841"/>
      <w:r w:rsidRPr="00E95982">
        <w:t>Diagnostik</w:t>
      </w:r>
      <w:bookmarkEnd w:id="2"/>
    </w:p>
    <w:p w:rsidR="00420B53" w:rsidRDefault="00420B53" w:rsidP="00420B53">
      <w:pPr>
        <w:pStyle w:val="Liststycke"/>
        <w:numPr>
          <w:ilvl w:val="0"/>
          <w:numId w:val="2"/>
        </w:numPr>
      </w:pPr>
      <w:r w:rsidRPr="00DD7976">
        <w:t>Bukstatus</w:t>
      </w:r>
      <w:r>
        <w:t xml:space="preserve"> (palpationsömhet)</w:t>
      </w:r>
    </w:p>
    <w:p w:rsidR="00420B53" w:rsidRPr="00DD7976" w:rsidRDefault="00420B53" w:rsidP="00420B53">
      <w:pPr>
        <w:pStyle w:val="Liststycke"/>
        <w:numPr>
          <w:ilvl w:val="0"/>
          <w:numId w:val="2"/>
        </w:numPr>
      </w:pPr>
      <w:r>
        <w:t>G</w:t>
      </w:r>
      <w:r w:rsidRPr="00DD7976">
        <w:t>ynstatus</w:t>
      </w:r>
      <w:r>
        <w:t xml:space="preserve"> (ruckömhet, förstorad uterus, smärta vid bimanuell palpation)</w:t>
      </w:r>
    </w:p>
    <w:p w:rsidR="00420B53" w:rsidRPr="00DD7976" w:rsidRDefault="00420B53" w:rsidP="00420B53">
      <w:pPr>
        <w:pStyle w:val="Liststycke"/>
        <w:numPr>
          <w:ilvl w:val="0"/>
          <w:numId w:val="2"/>
        </w:numPr>
      </w:pPr>
      <w:r w:rsidRPr="00DD7976">
        <w:t>Vitalparametrar (puls</w:t>
      </w:r>
      <w:r>
        <w:t xml:space="preserve"> &gt; 100/min</w:t>
      </w:r>
      <w:r w:rsidRPr="00DD7976">
        <w:t>, blodtryck</w:t>
      </w:r>
      <w:r>
        <w:t xml:space="preserve"> &lt; 100/60</w:t>
      </w:r>
      <w:r w:rsidRPr="00DD7976">
        <w:t xml:space="preserve">) – cirkulatorisk påverkan </w:t>
      </w:r>
      <w:r>
        <w:t>(chock, ortostatisk hypotension)</w:t>
      </w:r>
    </w:p>
    <w:p w:rsidR="00420B53" w:rsidRPr="00DD7976" w:rsidRDefault="00420B53" w:rsidP="00420B53">
      <w:pPr>
        <w:pStyle w:val="Liststycke"/>
        <w:numPr>
          <w:ilvl w:val="0"/>
          <w:numId w:val="2"/>
        </w:numPr>
      </w:pPr>
      <w:r w:rsidRPr="00DD7976">
        <w:t>Ultraljud: avsaknad av intrauterin graviditet (paracentral deciduaring i endometriet talar för intrauterin graviditet jämfört med central pseudohinnsäck utan deciduaförtätning), adnexprocess (storlek, viabilite</w:t>
      </w:r>
      <w:r>
        <w:t>t), ringfenomen/”donut sign”och</w:t>
      </w:r>
      <w:r w:rsidRPr="00DD7976">
        <w:t xml:space="preserve"> fri vätska </w:t>
      </w:r>
    </w:p>
    <w:p w:rsidR="00420B53" w:rsidRPr="00E95982" w:rsidRDefault="00420B53" w:rsidP="00420B53">
      <w:pPr>
        <w:pStyle w:val="Liststycke"/>
        <w:numPr>
          <w:ilvl w:val="0"/>
          <w:numId w:val="2"/>
        </w:numPr>
      </w:pPr>
      <w:r>
        <w:t>U</w:t>
      </w:r>
      <w:r w:rsidRPr="00DD7976">
        <w:t>rin-</w:t>
      </w:r>
      <w:r>
        <w:t>hCG +</w:t>
      </w:r>
      <w:r w:rsidRPr="00E95982">
        <w:t xml:space="preserve"> serum-hCG</w:t>
      </w:r>
    </w:p>
    <w:p w:rsidR="00420B53" w:rsidRPr="006C34BF" w:rsidRDefault="00420B53" w:rsidP="00420B53">
      <w:pPr>
        <w:pStyle w:val="Liststycke"/>
        <w:numPr>
          <w:ilvl w:val="0"/>
          <w:numId w:val="2"/>
        </w:numPr>
      </w:pPr>
      <w:r>
        <w:t xml:space="preserve">Blodstatus </w:t>
      </w:r>
    </w:p>
    <w:p w:rsidR="00420B53" w:rsidRPr="00E95982" w:rsidRDefault="00420B53" w:rsidP="00420B53">
      <w:pPr>
        <w:pStyle w:val="Liststycke"/>
        <w:numPr>
          <w:ilvl w:val="0"/>
          <w:numId w:val="2"/>
        </w:numPr>
      </w:pPr>
      <w:r>
        <w:t>Tillkalla erfaren kollega vid minsta tveksamhet</w:t>
      </w:r>
    </w:p>
    <w:p w:rsidR="00420B53" w:rsidRPr="00041FC8" w:rsidRDefault="00420B53" w:rsidP="00420B53">
      <w:pPr>
        <w:pStyle w:val="Liststycke"/>
        <w:numPr>
          <w:ilvl w:val="0"/>
          <w:numId w:val="2"/>
        </w:numPr>
      </w:pPr>
      <w:r>
        <w:t>Vid akutlarm och instabil patient; utför abdominellt ultraljud (fri vätska), tappa urinblåsan (pos u-hCG), säkra infarter, blodgruppering/BAS-test, larma narkosen, vid fri vätska och positivt graviditetstest ev direkt till operation</w:t>
      </w:r>
    </w:p>
    <w:p w:rsidR="00420B53" w:rsidRDefault="00420B53">
      <w:pPr>
        <w:widowControl/>
        <w:rPr>
          <w:rFonts w:cs="Arial"/>
          <w:b/>
          <w:bCs/>
          <w:iCs/>
          <w:szCs w:val="28"/>
        </w:rPr>
      </w:pPr>
      <w:bookmarkStart w:id="3" w:name="_Toc319214842"/>
      <w:r>
        <w:br w:type="page"/>
      </w:r>
    </w:p>
    <w:p w:rsidR="00420B53" w:rsidRPr="00E95982" w:rsidRDefault="00420B53" w:rsidP="00420B53">
      <w:pPr>
        <w:pStyle w:val="Rubrik2"/>
        <w:ind w:left="0"/>
      </w:pPr>
      <w:bookmarkStart w:id="4" w:name="_GoBack"/>
      <w:bookmarkEnd w:id="4"/>
      <w:r w:rsidRPr="00E95982">
        <w:lastRenderedPageBreak/>
        <w:t xml:space="preserve">Diagnostiska överväganden </w:t>
      </w:r>
      <w:r>
        <w:t>s</w:t>
      </w:r>
      <w:r w:rsidRPr="00E95982">
        <w:t>-hCG + UL- bild:</w:t>
      </w:r>
      <w:bookmarkEnd w:id="3"/>
    </w:p>
    <w:p w:rsidR="00420B53" w:rsidRPr="00E95982" w:rsidRDefault="00420B53" w:rsidP="00420B53"/>
    <w:p w:rsidR="00420B53" w:rsidRDefault="00420B53" w:rsidP="00420B53">
      <w:pPr>
        <w:pStyle w:val="Liststycke"/>
        <w:numPr>
          <w:ilvl w:val="0"/>
          <w:numId w:val="1"/>
        </w:numPr>
      </w:pPr>
      <w:r w:rsidRPr="00E95982">
        <w:t>Vid s-hCG &gt;</w:t>
      </w:r>
      <w:r>
        <w:t xml:space="preserve"> </w:t>
      </w:r>
      <w:r w:rsidRPr="009F2D81">
        <w:rPr>
          <w:u w:val="single"/>
        </w:rPr>
        <w:t>1500</w:t>
      </w:r>
      <w:r w:rsidRPr="00FE3391">
        <w:t xml:space="preserve"> </w:t>
      </w:r>
      <w:r w:rsidRPr="00E95982">
        <w:t xml:space="preserve">IU/L bör en intrauterin hinnsäck </w:t>
      </w:r>
      <w:r>
        <w:t>ses</w:t>
      </w:r>
    </w:p>
    <w:p w:rsidR="00420B53" w:rsidRPr="00E95982" w:rsidRDefault="00420B53" w:rsidP="00420B53">
      <w:pPr>
        <w:pStyle w:val="Liststycke"/>
        <w:numPr>
          <w:ilvl w:val="0"/>
          <w:numId w:val="1"/>
        </w:numPr>
      </w:pPr>
      <w:r w:rsidRPr="00E95982">
        <w:t>Normal dub</w:t>
      </w:r>
      <w:r>
        <w:t>b</w:t>
      </w:r>
      <w:r w:rsidRPr="00E95982">
        <w:t>ler</w:t>
      </w:r>
      <w:r>
        <w:t xml:space="preserve">ingstid s-hCG vid tidig graviditet: ca 48 timmar </w:t>
      </w:r>
    </w:p>
    <w:p w:rsidR="00420B53" w:rsidRPr="005614AD" w:rsidRDefault="00420B53" w:rsidP="00420B53">
      <w:pPr>
        <w:pStyle w:val="Liststycke"/>
        <w:numPr>
          <w:ilvl w:val="0"/>
          <w:numId w:val="1"/>
        </w:numPr>
      </w:pPr>
      <w:r>
        <w:t>Dock</w:t>
      </w:r>
      <w:r w:rsidRPr="005614AD">
        <w:t xml:space="preserve"> värt att notera att vid ektopisk graviditet fördubblas s-hCG på 2 dygn i 10 % av fallen</w:t>
      </w:r>
    </w:p>
    <w:p w:rsidR="00420B53" w:rsidRDefault="00420B53" w:rsidP="00420B53">
      <w:pPr>
        <w:pStyle w:val="Liststycke"/>
        <w:numPr>
          <w:ilvl w:val="0"/>
          <w:numId w:val="1"/>
        </w:numPr>
      </w:pPr>
      <w:r>
        <w:t>S</w:t>
      </w:r>
      <w:r w:rsidRPr="00E95982">
        <w:t>-hCG halveras på ca 2 dygn vid avsaknad av nyproduktion</w:t>
      </w:r>
      <w:r>
        <w:t xml:space="preserve"> </w:t>
      </w:r>
      <w:r w:rsidRPr="006C34BF">
        <w:t>(men kan fortsätta stiga vid t</w:t>
      </w:r>
      <w:r>
        <w:t xml:space="preserve"> </w:t>
      </w:r>
      <w:r w:rsidRPr="006C34BF">
        <w:t xml:space="preserve">ex missed abortion) </w:t>
      </w:r>
    </w:p>
    <w:p w:rsidR="00420B53" w:rsidRDefault="00420B53" w:rsidP="00420B53">
      <w:pPr>
        <w:pStyle w:val="Liststycke"/>
      </w:pPr>
    </w:p>
    <w:p w:rsidR="00420B53" w:rsidRPr="00516895" w:rsidRDefault="00420B53" w:rsidP="00420B53">
      <w:pPr>
        <w:pStyle w:val="Rubrik2"/>
        <w:ind w:left="0"/>
      </w:pPr>
      <w:bookmarkStart w:id="5" w:name="_Toc319214843"/>
      <w:r w:rsidRPr="00A85F8A">
        <w:rPr>
          <w:i/>
        </w:rPr>
        <w:t>Generella riktlinjer för tolkning av S-hCG</w:t>
      </w:r>
      <w:r w:rsidRPr="00516895">
        <w:t>:</w:t>
      </w:r>
      <w:bookmarkEnd w:id="5"/>
    </w:p>
    <w:p w:rsidR="00420B53" w:rsidRDefault="00420B53" w:rsidP="00420B53">
      <w:pPr>
        <w:pStyle w:val="Liststycke"/>
      </w:pPr>
    </w:p>
    <w:p w:rsidR="00420B53" w:rsidRDefault="00420B53" w:rsidP="00420B53">
      <w:pPr>
        <w:pStyle w:val="Liststycke"/>
        <w:numPr>
          <w:ilvl w:val="0"/>
          <w:numId w:val="1"/>
        </w:numPr>
      </w:pPr>
      <w:r>
        <w:t>Om s-hCG stiger mer än 63 % efter 48 h: troligtvis intrauterin graviditet, planera för nytt vag UL om 7-14 dagar.</w:t>
      </w:r>
    </w:p>
    <w:p w:rsidR="00420B53" w:rsidRDefault="00420B53" w:rsidP="00420B53">
      <w:pPr>
        <w:pStyle w:val="Liststycke"/>
        <w:numPr>
          <w:ilvl w:val="0"/>
          <w:numId w:val="1"/>
        </w:numPr>
      </w:pPr>
      <w:r>
        <w:t>Om s-hCG sjunker mer än 50% efter 48 h: troligtvis missfall, rekommendera gravtest i hemmet efter 14 dagar. Om positivt gravtest skall pat söka ånyo.</w:t>
      </w:r>
    </w:p>
    <w:p w:rsidR="00420B53" w:rsidRDefault="00420B53" w:rsidP="00420B53">
      <w:pPr>
        <w:pStyle w:val="Liststycke"/>
        <w:numPr>
          <w:ilvl w:val="0"/>
          <w:numId w:val="1"/>
        </w:numPr>
      </w:pPr>
      <w:r>
        <w:t>Om s-hCG stiger mindre än 63% eller sjunker mindre än 50% efter 48 h: stark misstanke om X, ny klinisk bedömning och ställningstagande till behandling.</w:t>
      </w:r>
    </w:p>
    <w:p w:rsidR="00420B53" w:rsidRDefault="00420B53" w:rsidP="00420B53">
      <w:pPr>
        <w:ind w:left="360"/>
      </w:pPr>
    </w:p>
    <w:p w:rsidR="00420B53" w:rsidRDefault="00420B53" w:rsidP="00420B53">
      <w:pPr>
        <w:pStyle w:val="Rubrik2"/>
        <w:ind w:left="0"/>
      </w:pPr>
      <w:bookmarkStart w:id="6" w:name="_Toc319214844"/>
      <w:r w:rsidRPr="00E95982">
        <w:t>Behandlingsalternativ:</w:t>
      </w:r>
      <w:bookmarkEnd w:id="6"/>
      <w:r w:rsidRPr="00E95982">
        <w:t xml:space="preserve"> </w:t>
      </w:r>
    </w:p>
    <w:p w:rsidR="00420B53" w:rsidRPr="00F37C9A" w:rsidRDefault="00420B53" w:rsidP="00420B53"/>
    <w:p w:rsidR="00420B53" w:rsidRPr="00E95982" w:rsidRDefault="00420B53" w:rsidP="00420B53">
      <w:r w:rsidRPr="00E95982">
        <w:t>Beroende på kvinnans preferenser</w:t>
      </w:r>
      <w:r>
        <w:t>, framtida fertilitetsönskan</w:t>
      </w:r>
      <w:r w:rsidRPr="00E95982">
        <w:t xml:space="preserve"> och klinisk b</w:t>
      </w:r>
      <w:r>
        <w:t>i</w:t>
      </w:r>
      <w:r w:rsidRPr="00E95982">
        <w:t xml:space="preserve">ld. </w:t>
      </w:r>
      <w:r w:rsidRPr="00BE5866">
        <w:t>Chansen för intrauterin grav</w:t>
      </w:r>
      <w:r>
        <w:t>iditet efter behandling med met</w:t>
      </w:r>
      <w:r w:rsidRPr="00BE5866">
        <w:t>otrexat, salpingektomi eller tubotomi är mer beroende av den tidigare fertilitetssituationen än av vald behandling och anges totalt till cirka 55 %. Risken för senare ipsilateral tubargraviditet är lika efter tubotomi och primär metotrexatbehandling (15-20</w:t>
      </w:r>
      <w:r>
        <w:t xml:space="preserve"> </w:t>
      </w:r>
      <w:r w:rsidRPr="00BE5866">
        <w:t>%)</w:t>
      </w:r>
      <w:r>
        <w:t xml:space="preserve">. </w:t>
      </w:r>
    </w:p>
    <w:p w:rsidR="00420B53" w:rsidRPr="00E95982" w:rsidRDefault="00420B53" w:rsidP="00420B53">
      <w:pPr>
        <w:pStyle w:val="Rubrik3"/>
        <w:keepLines/>
        <w:widowControl/>
        <w:numPr>
          <w:ilvl w:val="0"/>
          <w:numId w:val="4"/>
        </w:numPr>
        <w:spacing w:before="200"/>
      </w:pPr>
      <w:bookmarkStart w:id="7" w:name="_Toc319214845"/>
      <w:r w:rsidRPr="00E95982">
        <w:t>Kirurgi</w:t>
      </w:r>
      <w:bookmarkEnd w:id="7"/>
    </w:p>
    <w:p w:rsidR="00420B53" w:rsidRDefault="00420B53" w:rsidP="00420B53">
      <w:pPr>
        <w:ind w:left="360"/>
      </w:pPr>
      <w:r>
        <w:t>Kirurgi är förstahandsvalet vid hemodynamiskt instabil patient, större blödning till bukhålan, ektopisk graviditet med hjärtaktivitet, synlig tubargraviditet/hematom &gt; 4 cm eller s-hCG &gt; 5000 IU/L. Kan göras via laparoskopi eller laparotomi efter samråd med anestesiolog och beroende på kirurgisk kompetens.</w:t>
      </w:r>
    </w:p>
    <w:p w:rsidR="00420B53" w:rsidRPr="008923BB" w:rsidRDefault="00420B53" w:rsidP="00420B53">
      <w:pPr>
        <w:ind w:left="360"/>
        <w:rPr>
          <w:sz w:val="10"/>
          <w:szCs w:val="10"/>
        </w:rPr>
      </w:pPr>
    </w:p>
    <w:p w:rsidR="00420B53" w:rsidRDefault="00420B53" w:rsidP="00420B53">
      <w:pPr>
        <w:pStyle w:val="Rubrik4"/>
        <w:ind w:firstLine="426"/>
        <w:rPr>
          <w:b/>
        </w:rPr>
      </w:pPr>
      <w:r w:rsidRPr="008923BB">
        <w:t xml:space="preserve">Salpingektomi vs tubotomi </w:t>
      </w:r>
    </w:p>
    <w:p w:rsidR="00420B53" w:rsidRPr="008923BB" w:rsidRDefault="00420B53" w:rsidP="00420B53">
      <w:pPr>
        <w:rPr>
          <w:sz w:val="10"/>
        </w:rPr>
      </w:pPr>
    </w:p>
    <w:p w:rsidR="00420B53" w:rsidRPr="009C3BC2" w:rsidRDefault="00420B53" w:rsidP="00420B53">
      <w:pPr>
        <w:pStyle w:val="Liststycke"/>
        <w:numPr>
          <w:ilvl w:val="0"/>
          <w:numId w:val="11"/>
        </w:numPr>
        <w:ind w:hanging="294"/>
        <w:rPr>
          <w:b/>
        </w:rPr>
      </w:pPr>
      <w:r>
        <w:t xml:space="preserve">Salpingektomi innebär försumbar risk för persisterande trofoblast samt mindre risk för blödning per- och postoperativt än vid tubotomi, är lättare tekniskt och går snabbare att utföra. Vid tubotomi krävs i 20 % av fallen intervention pga kvarvarande trofoblastvävnad men bör övervägas hos yngre I-gravida kvinnor </w:t>
      </w:r>
    </w:p>
    <w:p w:rsidR="00420B53" w:rsidRPr="007D79E7" w:rsidRDefault="00420B53" w:rsidP="00420B53">
      <w:pPr>
        <w:pStyle w:val="Liststycke"/>
        <w:numPr>
          <w:ilvl w:val="0"/>
          <w:numId w:val="10"/>
        </w:numPr>
        <w:ind w:hanging="294"/>
        <w:rPr>
          <w:b/>
        </w:rPr>
      </w:pPr>
      <w:r>
        <w:t>Salpingektomi är förstahandsval vid avslutat barnafödande, levande tubargraviditet och tidigare ipsilateral tubargraviditet</w:t>
      </w:r>
    </w:p>
    <w:p w:rsidR="00420B53" w:rsidRPr="00501D78" w:rsidRDefault="00420B53" w:rsidP="00420B53">
      <w:pPr>
        <w:pStyle w:val="Liststycke"/>
        <w:numPr>
          <w:ilvl w:val="0"/>
          <w:numId w:val="10"/>
        </w:numPr>
        <w:ind w:hanging="294"/>
        <w:rPr>
          <w:b/>
          <w:color w:val="000000" w:themeColor="text1"/>
        </w:rPr>
      </w:pPr>
      <w:r>
        <w:t xml:space="preserve">Salpingektomi ska alltid göras vid heterotop graviditet </w:t>
      </w:r>
      <w:r w:rsidRPr="00501D78">
        <w:rPr>
          <w:color w:val="000000" w:themeColor="text1"/>
        </w:rPr>
        <w:t>(samtidig graviditet intra- och extrauterint)</w:t>
      </w:r>
    </w:p>
    <w:p w:rsidR="00420B53" w:rsidRPr="00501D78" w:rsidRDefault="00420B53" w:rsidP="00420B53">
      <w:pPr>
        <w:pStyle w:val="Liststycke"/>
        <w:numPr>
          <w:ilvl w:val="0"/>
          <w:numId w:val="10"/>
        </w:numPr>
        <w:ind w:hanging="294"/>
        <w:rPr>
          <w:b/>
          <w:color w:val="000000" w:themeColor="text1"/>
        </w:rPr>
      </w:pPr>
      <w:r>
        <w:lastRenderedPageBreak/>
        <w:t xml:space="preserve">Laparoskopisk tubotomi bör vara förstahandsval vid skadad kontralateral tuba och framtida fertilitetsönskan. </w:t>
      </w:r>
      <w:r w:rsidRPr="00501D78">
        <w:rPr>
          <w:color w:val="000000" w:themeColor="text1"/>
        </w:rPr>
        <w:t>Vid tubotomi kan man överväga postoperativ profylaktisk metotrexatbehandling (tidig gestation, X &lt; 2cm i diameter, högt initialt s-hCG medför ökad risk för kvarvarande trofoblast vid tubotomi)</w:t>
      </w:r>
    </w:p>
    <w:p w:rsidR="00420B53" w:rsidRPr="008923BB" w:rsidRDefault="00420B53" w:rsidP="00420B53">
      <w:pPr>
        <w:ind w:hanging="294"/>
        <w:rPr>
          <w:b/>
        </w:rPr>
      </w:pPr>
    </w:p>
    <w:p w:rsidR="00420B53" w:rsidRDefault="00420B53" w:rsidP="00420B53">
      <w:pPr>
        <w:pStyle w:val="Rubrik4"/>
        <w:ind w:firstLine="426"/>
        <w:rPr>
          <w:b/>
        </w:rPr>
      </w:pPr>
      <w:r w:rsidRPr="008923BB">
        <w:t>Uppföljning efter kirurgi:</w:t>
      </w:r>
    </w:p>
    <w:p w:rsidR="00420B53" w:rsidRPr="008923BB" w:rsidRDefault="00420B53" w:rsidP="00420B53">
      <w:pPr>
        <w:rPr>
          <w:sz w:val="10"/>
          <w:szCs w:val="10"/>
        </w:rPr>
      </w:pPr>
    </w:p>
    <w:p w:rsidR="00420B53" w:rsidRDefault="00420B53" w:rsidP="00420B53">
      <w:pPr>
        <w:pStyle w:val="Liststycke"/>
        <w:numPr>
          <w:ilvl w:val="0"/>
          <w:numId w:val="9"/>
        </w:numPr>
        <w:ind w:hanging="294"/>
      </w:pPr>
      <w:r>
        <w:t>Vid salpingektomi behövs i regel inte s-hCG följas</w:t>
      </w:r>
    </w:p>
    <w:p w:rsidR="00420B53" w:rsidRDefault="00420B53" w:rsidP="00420B53">
      <w:pPr>
        <w:pStyle w:val="Liststycke"/>
        <w:numPr>
          <w:ilvl w:val="0"/>
          <w:numId w:val="9"/>
        </w:numPr>
        <w:ind w:hanging="294"/>
      </w:pPr>
      <w:r>
        <w:t>Vid tubotomi kontrolleras s-hCG ca 1 v efter kirurgi, därefter 1 gång/vecka tills omätbara nivåer</w:t>
      </w:r>
    </w:p>
    <w:p w:rsidR="00420B53" w:rsidRDefault="00420B53" w:rsidP="00420B53">
      <w:pPr>
        <w:pStyle w:val="Rubrik4"/>
        <w:ind w:firstLine="426"/>
        <w:rPr>
          <w:b/>
        </w:rPr>
      </w:pPr>
      <w:r w:rsidRPr="008923BB">
        <w:t>Rh-profylax</w:t>
      </w:r>
    </w:p>
    <w:p w:rsidR="00420B53" w:rsidRPr="008923BB" w:rsidRDefault="00420B53" w:rsidP="00420B53">
      <w:pPr>
        <w:rPr>
          <w:sz w:val="10"/>
          <w:szCs w:val="10"/>
        </w:rPr>
      </w:pPr>
    </w:p>
    <w:p w:rsidR="00420B53" w:rsidRPr="00E95982" w:rsidRDefault="00420B53" w:rsidP="00420B53">
      <w:pPr>
        <w:ind w:left="426"/>
      </w:pPr>
      <w:r>
        <w:t>Bör ges om kvinnan är Rh-negativ och genomgår kirurgisk behandling.</w:t>
      </w:r>
    </w:p>
    <w:p w:rsidR="00420B53" w:rsidRDefault="00420B53" w:rsidP="00420B53">
      <w:pPr>
        <w:pStyle w:val="Rubrik3"/>
        <w:keepLines/>
        <w:widowControl/>
        <w:numPr>
          <w:ilvl w:val="0"/>
          <w:numId w:val="4"/>
        </w:numPr>
        <w:spacing w:before="200"/>
      </w:pPr>
      <w:bookmarkStart w:id="8" w:name="_Toc319214846"/>
      <w:r>
        <w:t>Medicinsk behandling (metotrexat, MTX</w:t>
      </w:r>
      <w:r w:rsidRPr="00E95982">
        <w:t>)</w:t>
      </w:r>
      <w:bookmarkEnd w:id="8"/>
    </w:p>
    <w:p w:rsidR="00420B53" w:rsidRPr="00F37C9A" w:rsidRDefault="00420B53" w:rsidP="00420B53">
      <w:pPr>
        <w:rPr>
          <w:sz w:val="10"/>
          <w:szCs w:val="10"/>
        </w:rPr>
      </w:pPr>
    </w:p>
    <w:p w:rsidR="00420B53" w:rsidRDefault="00420B53" w:rsidP="00420B53">
      <w:pPr>
        <w:ind w:left="426"/>
      </w:pPr>
      <w:r w:rsidRPr="00E95982">
        <w:t xml:space="preserve">När man </w:t>
      </w:r>
      <w:r>
        <w:t>har jämfört metotrexat</w:t>
      </w:r>
      <w:r w:rsidRPr="00E95982">
        <w:t xml:space="preserve">behandling med laparoskopisk </w:t>
      </w:r>
      <w:r>
        <w:t xml:space="preserve">tubotomi </w:t>
      </w:r>
      <w:r w:rsidRPr="00E95982">
        <w:t xml:space="preserve">ses ingen skillnad i </w:t>
      </w:r>
      <w:r>
        <w:t xml:space="preserve">bevarandet av tubarfunktion, </w:t>
      </w:r>
      <w:r w:rsidRPr="00E95982">
        <w:t>upprepade extrauterina gravidite</w:t>
      </w:r>
      <w:r>
        <w:t>ter eller framtida graviditeter.</w:t>
      </w:r>
    </w:p>
    <w:p w:rsidR="00420B53" w:rsidRDefault="00420B53" w:rsidP="00420B53">
      <w:pPr>
        <w:ind w:left="426"/>
      </w:pPr>
    </w:p>
    <w:p w:rsidR="00420B53" w:rsidRDefault="00420B53" w:rsidP="00420B53">
      <w:pPr>
        <w:ind w:left="426"/>
      </w:pPr>
      <w:r w:rsidRPr="009F2D81">
        <w:t>Viktigt att informera patienten om att behandlingen kan misslyckas och kräva ytterligare intervention, samt att den kräver upprepade provtagningar och kontroller ofta under längre ti</w:t>
      </w:r>
      <w:r>
        <w:t>d.</w:t>
      </w:r>
    </w:p>
    <w:p w:rsidR="00420B53" w:rsidRDefault="00420B53" w:rsidP="00420B53">
      <w:pPr>
        <w:pStyle w:val="Rubrik4"/>
        <w:ind w:firstLine="426"/>
      </w:pPr>
    </w:p>
    <w:p w:rsidR="00420B53" w:rsidRDefault="00420B53" w:rsidP="00420B53">
      <w:pPr>
        <w:pStyle w:val="Rubrik4"/>
        <w:ind w:firstLine="426"/>
        <w:rPr>
          <w:b/>
        </w:rPr>
      </w:pPr>
      <w:r w:rsidRPr="008923BB">
        <w:t>Förutsättningar för  MTX:</w:t>
      </w:r>
    </w:p>
    <w:p w:rsidR="00420B53" w:rsidRPr="00F37C9A" w:rsidRDefault="00420B53" w:rsidP="00420B53">
      <w:pPr>
        <w:rPr>
          <w:sz w:val="10"/>
          <w:szCs w:val="10"/>
        </w:rPr>
      </w:pPr>
    </w:p>
    <w:p w:rsidR="00420B53" w:rsidRPr="00112DF2" w:rsidRDefault="00420B53" w:rsidP="00420B53">
      <w:pPr>
        <w:pStyle w:val="Liststycke"/>
        <w:numPr>
          <w:ilvl w:val="0"/>
          <w:numId w:val="12"/>
        </w:numPr>
        <w:ind w:hanging="294"/>
      </w:pPr>
      <w:r w:rsidRPr="00112DF2">
        <w:t>Cirkulatoriskt stabil patient</w:t>
      </w:r>
    </w:p>
    <w:p w:rsidR="00420B53" w:rsidRPr="00112DF2" w:rsidRDefault="00420B53" w:rsidP="00420B53">
      <w:pPr>
        <w:pStyle w:val="Liststycke"/>
        <w:numPr>
          <w:ilvl w:val="0"/>
          <w:numId w:val="12"/>
        </w:numPr>
        <w:ind w:hanging="294"/>
      </w:pPr>
      <w:r w:rsidRPr="00112DF2">
        <w:t>Obetydligt bukstatus</w:t>
      </w:r>
    </w:p>
    <w:p w:rsidR="00420B53" w:rsidRPr="00112DF2" w:rsidRDefault="00420B53" w:rsidP="00420B53">
      <w:pPr>
        <w:pStyle w:val="Liststycke"/>
        <w:numPr>
          <w:ilvl w:val="0"/>
          <w:numId w:val="12"/>
        </w:numPr>
        <w:ind w:hanging="294"/>
      </w:pPr>
      <w:r w:rsidRPr="00112DF2">
        <w:t xml:space="preserve">Minimala tecken på intraabdominell blödning </w:t>
      </w:r>
    </w:p>
    <w:p w:rsidR="00420B53" w:rsidRPr="00112DF2" w:rsidRDefault="00420B53" w:rsidP="00420B53">
      <w:pPr>
        <w:pStyle w:val="Liststycke"/>
        <w:numPr>
          <w:ilvl w:val="0"/>
          <w:numId w:val="12"/>
        </w:numPr>
        <w:ind w:hanging="294"/>
        <w:rPr>
          <w:rFonts w:ascii="AdvOT2b189473.B" w:hAnsi="AdvOT2b189473.B"/>
        </w:rPr>
      </w:pPr>
      <w:r w:rsidRPr="00112DF2">
        <w:t>S-hCG &lt; 5000 IU</w:t>
      </w:r>
      <w:r w:rsidRPr="00112DF2">
        <w:rPr>
          <w:rFonts w:ascii="AdvOT2b189473.B" w:hAnsi="AdvOT2b189473.B" w:hint="eastAsia"/>
        </w:rPr>
        <w:t xml:space="preserve"> </w:t>
      </w:r>
    </w:p>
    <w:p w:rsidR="00420B53" w:rsidRPr="00112DF2" w:rsidRDefault="00420B53" w:rsidP="00420B53">
      <w:pPr>
        <w:pStyle w:val="Liststycke"/>
        <w:numPr>
          <w:ilvl w:val="0"/>
          <w:numId w:val="12"/>
        </w:numPr>
        <w:ind w:hanging="294"/>
        <w:rPr>
          <w:rFonts w:ascii="AdvOT2b189473.B" w:hAnsi="AdvOT2b189473.B"/>
        </w:rPr>
      </w:pPr>
      <w:r w:rsidRPr="00112DF2">
        <w:t xml:space="preserve">Adnexförändring &lt; 35 mm </w:t>
      </w:r>
    </w:p>
    <w:p w:rsidR="00420B53" w:rsidRPr="00112DF2" w:rsidRDefault="00420B53" w:rsidP="00420B53">
      <w:pPr>
        <w:ind w:left="360"/>
      </w:pPr>
    </w:p>
    <w:p w:rsidR="00420B53" w:rsidRPr="00112DF2" w:rsidRDefault="00420B53" w:rsidP="00420B53">
      <w:pPr>
        <w:ind w:left="426"/>
      </w:pPr>
      <w:r w:rsidRPr="00112DF2">
        <w:t>Sämre förutsättningar för lyckad behandling vid högre s-hCG värden, snabbt stigande värden och om hjärtaktivitet ses</w:t>
      </w:r>
      <w:r>
        <w:t>.</w:t>
      </w:r>
    </w:p>
    <w:p w:rsidR="00420B53" w:rsidRDefault="00420B53" w:rsidP="00420B53">
      <w:pPr>
        <w:ind w:left="426"/>
      </w:pPr>
    </w:p>
    <w:p w:rsidR="00420B53" w:rsidRPr="00112DF2" w:rsidRDefault="00420B53" w:rsidP="00420B53">
      <w:pPr>
        <w:ind w:left="426"/>
      </w:pPr>
      <w:r w:rsidRPr="00112DF2">
        <w:t>Pat bör inte vistas ensam och ha nära tillgång till akutsjukhus</w:t>
      </w:r>
      <w:r>
        <w:t>.</w:t>
      </w:r>
    </w:p>
    <w:p w:rsidR="00420B53" w:rsidRDefault="00420B53" w:rsidP="00420B53">
      <w:pPr>
        <w:pStyle w:val="Rubrik4"/>
        <w:ind w:firstLine="426"/>
      </w:pPr>
    </w:p>
    <w:p w:rsidR="00420B53" w:rsidRPr="00F37C9A" w:rsidRDefault="00420B53" w:rsidP="00420B53">
      <w:pPr>
        <w:pStyle w:val="Rubrik4"/>
        <w:ind w:firstLine="426"/>
        <w:rPr>
          <w:b/>
          <w:strike/>
          <w:u w:val="single"/>
        </w:rPr>
      </w:pPr>
      <w:r w:rsidRPr="00F37C9A">
        <w:t xml:space="preserve">Kontraindikationer MTX: </w:t>
      </w:r>
    </w:p>
    <w:p w:rsidR="00420B53" w:rsidRPr="00F37C9A" w:rsidRDefault="00420B53" w:rsidP="00420B53">
      <w:pPr>
        <w:rPr>
          <w:strike/>
          <w:sz w:val="10"/>
          <w:szCs w:val="10"/>
          <w:u w:val="single"/>
        </w:rPr>
      </w:pPr>
    </w:p>
    <w:p w:rsidR="00420B53" w:rsidRPr="00E95982" w:rsidRDefault="00420B53" w:rsidP="00420B53">
      <w:pPr>
        <w:pStyle w:val="Liststycke"/>
        <w:numPr>
          <w:ilvl w:val="0"/>
          <w:numId w:val="13"/>
        </w:numPr>
      </w:pPr>
      <w:r w:rsidRPr="00E95982">
        <w:t>I</w:t>
      </w:r>
      <w:r>
        <w:t>mmunsu</w:t>
      </w:r>
      <w:r w:rsidRPr="00E95982">
        <w:t>p</w:t>
      </w:r>
      <w:r>
        <w:t>p</w:t>
      </w:r>
      <w:r w:rsidRPr="00E95982">
        <w:t>rimerad patient</w:t>
      </w:r>
    </w:p>
    <w:p w:rsidR="00420B53" w:rsidRPr="00E95982" w:rsidRDefault="00420B53" w:rsidP="00420B53">
      <w:pPr>
        <w:pStyle w:val="Liststycke"/>
        <w:numPr>
          <w:ilvl w:val="0"/>
          <w:numId w:val="13"/>
        </w:numPr>
      </w:pPr>
      <w:r w:rsidRPr="00E95982">
        <w:t>Alkoholism, kronisk leversjukdom</w:t>
      </w:r>
    </w:p>
    <w:p w:rsidR="00420B53" w:rsidRPr="00E95982" w:rsidRDefault="00420B53" w:rsidP="00420B53">
      <w:pPr>
        <w:pStyle w:val="Liststycke"/>
        <w:numPr>
          <w:ilvl w:val="0"/>
          <w:numId w:val="13"/>
        </w:numPr>
      </w:pPr>
      <w:r>
        <w:t xml:space="preserve">Bloddyskrasi: </w:t>
      </w:r>
      <w:r w:rsidRPr="00E95982">
        <w:t>t</w:t>
      </w:r>
      <w:r>
        <w:t xml:space="preserve"> </w:t>
      </w:r>
      <w:r w:rsidRPr="00E95982">
        <w:t>ex leu</w:t>
      </w:r>
      <w:r>
        <w:t>kopeni, trombocytopeni, signifik</w:t>
      </w:r>
      <w:r w:rsidRPr="00E95982">
        <w:t>ant anemi</w:t>
      </w:r>
    </w:p>
    <w:p w:rsidR="00420B53" w:rsidRPr="00E95982" w:rsidRDefault="00420B53" w:rsidP="00420B53">
      <w:pPr>
        <w:pStyle w:val="Liststycke"/>
        <w:numPr>
          <w:ilvl w:val="0"/>
          <w:numId w:val="13"/>
        </w:numPr>
      </w:pPr>
      <w:r w:rsidRPr="00E95982">
        <w:t>Lungsjukdom</w:t>
      </w:r>
    </w:p>
    <w:p w:rsidR="00420B53" w:rsidRPr="00E95982" w:rsidRDefault="00420B53" w:rsidP="00420B53">
      <w:pPr>
        <w:pStyle w:val="Liststycke"/>
        <w:numPr>
          <w:ilvl w:val="0"/>
          <w:numId w:val="13"/>
        </w:numPr>
      </w:pPr>
      <w:r w:rsidRPr="00E95982">
        <w:t>Ventrikelulcus</w:t>
      </w:r>
    </w:p>
    <w:p w:rsidR="00420B53" w:rsidRPr="00E95982" w:rsidRDefault="00420B53" w:rsidP="00420B53">
      <w:pPr>
        <w:pStyle w:val="Liststycke"/>
        <w:numPr>
          <w:ilvl w:val="0"/>
          <w:numId w:val="13"/>
        </w:numPr>
      </w:pPr>
      <w:r>
        <w:t>Lever-, njur-</w:t>
      </w:r>
      <w:r w:rsidRPr="00E95982">
        <w:t xml:space="preserve"> eller hematologisk sjukdom</w:t>
      </w:r>
    </w:p>
    <w:p w:rsidR="00420B53" w:rsidRDefault="00420B53">
      <w:pPr>
        <w:widowControl/>
        <w:rPr>
          <w:rFonts w:asciiTheme="minorHAnsi" w:eastAsiaTheme="minorEastAsia" w:hAnsiTheme="minorHAnsi" w:cstheme="minorBidi"/>
        </w:rPr>
      </w:pPr>
      <w:r>
        <w:lastRenderedPageBreak/>
        <w:br w:type="page"/>
      </w:r>
    </w:p>
    <w:p w:rsidR="00420B53" w:rsidRDefault="00420B53" w:rsidP="00420B53">
      <w:pPr>
        <w:pStyle w:val="Liststycke"/>
        <w:numPr>
          <w:ilvl w:val="0"/>
          <w:numId w:val="13"/>
        </w:numPr>
      </w:pPr>
      <w:r w:rsidRPr="00E95982">
        <w:lastRenderedPageBreak/>
        <w:t>Heterotop graviditet</w:t>
      </w:r>
    </w:p>
    <w:p w:rsidR="00420B53" w:rsidRDefault="00420B53" w:rsidP="00420B53">
      <w:pPr>
        <w:pStyle w:val="Liststycke"/>
        <w:numPr>
          <w:ilvl w:val="0"/>
          <w:numId w:val="13"/>
        </w:numPr>
      </w:pPr>
      <w:r>
        <w:t xml:space="preserve">Kontrollera även interaktioner från patientens eventuella andra läkemedel, viktigt att notera att NSAID-preparat bör undvikas </w:t>
      </w:r>
    </w:p>
    <w:p w:rsidR="00420B53" w:rsidRPr="00501D78" w:rsidRDefault="00420B53" w:rsidP="00420B53">
      <w:pPr>
        <w:pStyle w:val="Liststycke"/>
        <w:numPr>
          <w:ilvl w:val="0"/>
          <w:numId w:val="13"/>
        </w:numPr>
        <w:rPr>
          <w:color w:val="000000" w:themeColor="text1"/>
        </w:rPr>
      </w:pPr>
      <w:r w:rsidRPr="00501D78">
        <w:rPr>
          <w:color w:val="000000" w:themeColor="text1"/>
        </w:rPr>
        <w:t>Överkänslighet</w:t>
      </w:r>
    </w:p>
    <w:p w:rsidR="00420B53" w:rsidRPr="00501D78" w:rsidRDefault="00420B53" w:rsidP="00420B53">
      <w:pPr>
        <w:pStyle w:val="Liststycke"/>
        <w:numPr>
          <w:ilvl w:val="0"/>
          <w:numId w:val="13"/>
        </w:numPr>
        <w:rPr>
          <w:color w:val="000000" w:themeColor="text1"/>
        </w:rPr>
      </w:pPr>
      <w:r w:rsidRPr="00501D78">
        <w:rPr>
          <w:color w:val="000000" w:themeColor="text1"/>
        </w:rPr>
        <w:t>Amning</w:t>
      </w:r>
    </w:p>
    <w:p w:rsidR="00420B53" w:rsidRDefault="00420B53" w:rsidP="00420B53">
      <w:pPr>
        <w:ind w:left="360"/>
        <w:rPr>
          <w:b/>
        </w:rPr>
      </w:pPr>
    </w:p>
    <w:p w:rsidR="00420B53" w:rsidRDefault="00420B53" w:rsidP="00420B53">
      <w:pPr>
        <w:pStyle w:val="Rubrik4"/>
        <w:ind w:firstLine="426"/>
        <w:rPr>
          <w:b/>
        </w:rPr>
      </w:pPr>
      <w:r w:rsidRPr="00F37C9A">
        <w:t>Behandlingsschema</w:t>
      </w:r>
    </w:p>
    <w:p w:rsidR="00420B53" w:rsidRPr="00F37C9A" w:rsidRDefault="00420B53" w:rsidP="00420B53">
      <w:pPr>
        <w:rPr>
          <w:sz w:val="10"/>
          <w:szCs w:val="10"/>
        </w:rPr>
      </w:pPr>
    </w:p>
    <w:p w:rsidR="00420B53" w:rsidRDefault="00420B53" w:rsidP="00420B53">
      <w:pPr>
        <w:ind w:left="426"/>
      </w:pPr>
      <w:r>
        <w:t xml:space="preserve">Dag 0 (behandlingsdag) ges metotrexat </w:t>
      </w:r>
      <w:r w:rsidRPr="005A7454">
        <w:t>50 mg</w:t>
      </w:r>
      <w:r>
        <w:t>/m</w:t>
      </w:r>
      <w:r w:rsidRPr="00501D78">
        <w:rPr>
          <w:vertAlign w:val="superscript"/>
        </w:rPr>
        <w:t>2</w:t>
      </w:r>
      <w:r>
        <w:t xml:space="preserve"> kroppsyta (max</w:t>
      </w:r>
      <w:r w:rsidRPr="005A7454">
        <w:t xml:space="preserve"> 100 mg</w:t>
      </w:r>
      <w:r>
        <w:t>)</w:t>
      </w:r>
      <w:r w:rsidRPr="005A7454">
        <w:t xml:space="preserve"> </w:t>
      </w:r>
      <w:r>
        <w:t xml:space="preserve">som djup intramuskulär injektion (använd kalkylatorn i läkemedelsmodulen för dosberäkning). </w:t>
      </w:r>
    </w:p>
    <w:p w:rsidR="00420B53" w:rsidRDefault="00420B53" w:rsidP="00420B53">
      <w:pPr>
        <w:ind w:left="426"/>
      </w:pPr>
    </w:p>
    <w:p w:rsidR="00420B53" w:rsidRPr="00A901E8" w:rsidRDefault="00420B53" w:rsidP="00420B53">
      <w:pPr>
        <w:ind w:left="426"/>
      </w:pPr>
      <w:r w:rsidRPr="00501D78">
        <w:rPr>
          <w:b/>
        </w:rPr>
        <w:t>Obs!</w:t>
      </w:r>
      <w:r>
        <w:t xml:space="preserve"> Metotrexat måste beställas från apoteket på Södersjukhuset (rekvisitionsblankett fylls i av läkare). Det är därför viktigt att beställa preparatet redan när beslutet om behandling tas, så att det finns tillgängligt när patienten kommer för behandling.</w:t>
      </w:r>
    </w:p>
    <w:p w:rsidR="00420B53" w:rsidRDefault="00420B53" w:rsidP="00420B53">
      <w:pPr>
        <w:pStyle w:val="Rubrik4"/>
        <w:ind w:firstLine="426"/>
      </w:pPr>
    </w:p>
    <w:p w:rsidR="00420B53" w:rsidRDefault="00420B53" w:rsidP="00420B53">
      <w:pPr>
        <w:pStyle w:val="Rubrik4"/>
        <w:ind w:firstLine="426"/>
        <w:rPr>
          <w:b/>
        </w:rPr>
      </w:pPr>
      <w:r w:rsidRPr="00F37C9A">
        <w:t>Kontroller</w:t>
      </w:r>
    </w:p>
    <w:p w:rsidR="00420B53" w:rsidRPr="00F37C9A" w:rsidRDefault="00420B53" w:rsidP="00420B53">
      <w:pPr>
        <w:rPr>
          <w:sz w:val="10"/>
          <w:szCs w:val="10"/>
        </w:rPr>
      </w:pPr>
    </w:p>
    <w:p w:rsidR="00420B53" w:rsidRDefault="00420B53" w:rsidP="00420B53">
      <w:pPr>
        <w:ind w:left="426"/>
      </w:pPr>
      <w:r w:rsidRPr="00EE4604">
        <w:t xml:space="preserve">Kontrollerna sker </w:t>
      </w:r>
      <w:r>
        <w:t xml:space="preserve">polikliniskt, patienten sätts upp i s-hCG kalendern i TC på gynakuten. </w:t>
      </w:r>
    </w:p>
    <w:p w:rsidR="00420B53" w:rsidRPr="00EE4604" w:rsidRDefault="00420B53" w:rsidP="00420B53">
      <w:pPr>
        <w:ind w:left="426"/>
      </w:pPr>
      <w:r>
        <w:t xml:space="preserve">Blodproven som ska tas finns färdigregistrerade i TC: </w:t>
      </w:r>
      <w:r w:rsidRPr="00102F42">
        <w:t>välj H-Gynakut &gt; Multidisciplinär &gt;</w:t>
      </w:r>
      <w:r>
        <w:t xml:space="preserve"> Vårdenhetens egna grupper &gt; därefter beroende på provtagningsdag:  </w:t>
      </w:r>
      <w:r w:rsidRPr="00102F42">
        <w:t>X-MISSTÄNKT - inför metotrexat</w:t>
      </w:r>
      <w:r>
        <w:t>, METOTREXAT DAG 4 alternativt dag 7(dag 0=behandlingsdag).</w:t>
      </w:r>
      <w:r>
        <w:br/>
      </w:r>
    </w:p>
    <w:p w:rsidR="00420B53" w:rsidRPr="00F12EB3" w:rsidRDefault="00420B53" w:rsidP="00420B53">
      <w:pPr>
        <w:pStyle w:val="Liststycke"/>
        <w:numPr>
          <w:ilvl w:val="0"/>
          <w:numId w:val="7"/>
        </w:numPr>
        <w:ind w:hanging="294"/>
        <w:rPr>
          <w:b/>
        </w:rPr>
      </w:pPr>
      <w:r>
        <w:t xml:space="preserve">Kontroll före behandling: Blodstatus, s-hCG, ASAT, ALAT </w:t>
      </w:r>
      <w:r w:rsidRPr="00102F42">
        <w:t>och kreatinin</w:t>
      </w:r>
    </w:p>
    <w:p w:rsidR="00420B53" w:rsidRPr="00E43C20" w:rsidRDefault="00420B53" w:rsidP="00420B53">
      <w:pPr>
        <w:pStyle w:val="Liststycke"/>
        <w:numPr>
          <w:ilvl w:val="0"/>
          <w:numId w:val="7"/>
        </w:numPr>
        <w:ind w:hanging="294"/>
        <w:rPr>
          <w:b/>
        </w:rPr>
      </w:pPr>
      <w:r>
        <w:t>Dag 4: s-hCG</w:t>
      </w:r>
    </w:p>
    <w:p w:rsidR="00420B53" w:rsidRPr="00E43C20" w:rsidRDefault="00420B53" w:rsidP="00420B53">
      <w:pPr>
        <w:pStyle w:val="Liststycke"/>
        <w:numPr>
          <w:ilvl w:val="0"/>
          <w:numId w:val="7"/>
        </w:numPr>
        <w:ind w:hanging="294"/>
        <w:rPr>
          <w:b/>
        </w:rPr>
      </w:pPr>
      <w:r>
        <w:t xml:space="preserve">Dag 7: s-hCG </w:t>
      </w:r>
    </w:p>
    <w:p w:rsidR="00420B53" w:rsidRPr="00EE4604" w:rsidRDefault="00420B53" w:rsidP="00420B53">
      <w:pPr>
        <w:pStyle w:val="Liststycke"/>
        <w:numPr>
          <w:ilvl w:val="0"/>
          <w:numId w:val="7"/>
        </w:numPr>
        <w:ind w:hanging="294"/>
      </w:pPr>
      <w:r>
        <w:t>Pat följs därefter</w:t>
      </w:r>
      <w:r w:rsidRPr="00E95982">
        <w:t xml:space="preserve"> med s-hCG 1-2 ggr per vecka, där</w:t>
      </w:r>
      <w:r>
        <w:t>efter beroende på klinisk blid</w:t>
      </w:r>
    </w:p>
    <w:p w:rsidR="00420B53" w:rsidRDefault="00420B53" w:rsidP="00420B53">
      <w:pPr>
        <w:pStyle w:val="Liststycke"/>
        <w:numPr>
          <w:ilvl w:val="0"/>
          <w:numId w:val="7"/>
        </w:numPr>
        <w:ind w:hanging="294"/>
      </w:pPr>
      <w:r w:rsidRPr="00E95982">
        <w:t>S-hCG ska f</w:t>
      </w:r>
      <w:r>
        <w:t>öljas till icke mätbara nivåer</w:t>
      </w:r>
      <w:r w:rsidRPr="00E95982">
        <w:t xml:space="preserve"> </w:t>
      </w:r>
    </w:p>
    <w:p w:rsidR="00420B53" w:rsidRDefault="00420B53" w:rsidP="00420B53">
      <w:pPr>
        <w:pStyle w:val="Rubrik4"/>
        <w:ind w:firstLine="426"/>
      </w:pPr>
    </w:p>
    <w:p w:rsidR="00420B53" w:rsidRDefault="00420B53" w:rsidP="00420B53">
      <w:pPr>
        <w:pStyle w:val="Rubrik4"/>
        <w:ind w:firstLine="426"/>
        <w:rPr>
          <w:b/>
        </w:rPr>
      </w:pPr>
      <w:r w:rsidRPr="00F37C9A">
        <w:t>Utebliven effekt av första dosen metotrexat</w:t>
      </w:r>
    </w:p>
    <w:p w:rsidR="00420B53" w:rsidRPr="00F37C9A" w:rsidRDefault="00420B53" w:rsidP="00420B53">
      <w:pPr>
        <w:rPr>
          <w:sz w:val="10"/>
          <w:szCs w:val="10"/>
        </w:rPr>
      </w:pPr>
    </w:p>
    <w:p w:rsidR="00420B53" w:rsidRPr="00972A8B" w:rsidRDefault="00420B53" w:rsidP="00420B53">
      <w:pPr>
        <w:pStyle w:val="Liststycke"/>
        <w:numPr>
          <w:ilvl w:val="0"/>
          <w:numId w:val="7"/>
        </w:numPr>
        <w:ind w:hanging="294"/>
      </w:pPr>
      <w:r>
        <w:t>Det är inte ovanligt att s</w:t>
      </w:r>
      <w:r w:rsidRPr="00972A8B">
        <w:t xml:space="preserve">-hCG </w:t>
      </w:r>
      <w:r>
        <w:t xml:space="preserve">stiger mellan dag 0 och dag 4, ingen ytterligare intervention behövs om detta sker </w:t>
      </w:r>
      <w:r w:rsidRPr="00972A8B">
        <w:t xml:space="preserve"> </w:t>
      </w:r>
    </w:p>
    <w:p w:rsidR="00420B53" w:rsidRPr="007D3F3B" w:rsidRDefault="00420B53" w:rsidP="00420B53">
      <w:pPr>
        <w:pStyle w:val="Liststycke"/>
        <w:numPr>
          <w:ilvl w:val="0"/>
          <w:numId w:val="7"/>
        </w:numPr>
        <w:ind w:hanging="294"/>
        <w:rPr>
          <w:b/>
        </w:rPr>
      </w:pPr>
      <w:r>
        <w:t xml:space="preserve">Vid stigande eller endast marginellt sjunkande s-hCG värden mellan dag 4 och 7 bör man ånyo diskutera kirurgi alternativt upprepad dos metotrexat </w:t>
      </w:r>
    </w:p>
    <w:p w:rsidR="00420B53" w:rsidRPr="00A901E8" w:rsidRDefault="00420B53" w:rsidP="00420B53">
      <w:pPr>
        <w:pStyle w:val="Liststycke"/>
        <w:numPr>
          <w:ilvl w:val="0"/>
          <w:numId w:val="7"/>
        </w:numPr>
        <w:ind w:hanging="294"/>
        <w:rPr>
          <w:b/>
        </w:rPr>
      </w:pPr>
      <w:r>
        <w:t xml:space="preserve">Om s-hCG ej har sjunkit &gt; 15 % mellan dag 4 och 7 övervägs en upprepad dos metotrexat </w:t>
      </w:r>
      <w:r w:rsidRPr="005A7454">
        <w:t>50 mg</w:t>
      </w:r>
      <w:r>
        <w:t>/m</w:t>
      </w:r>
      <w:r w:rsidRPr="00EE3308">
        <w:rPr>
          <w:vertAlign w:val="superscript"/>
        </w:rPr>
        <w:t>2</w:t>
      </w:r>
      <w:r>
        <w:t xml:space="preserve"> kroppsyta (max</w:t>
      </w:r>
      <w:r w:rsidRPr="005A7454">
        <w:t xml:space="preserve"> 100 mg</w:t>
      </w:r>
      <w:r>
        <w:t>) som</w:t>
      </w:r>
      <w:r w:rsidRPr="005A7454">
        <w:t xml:space="preserve"> </w:t>
      </w:r>
      <w:r>
        <w:t>djup intramuskulär injektion</w:t>
      </w:r>
    </w:p>
    <w:p w:rsidR="00420B53" w:rsidRDefault="00420B53" w:rsidP="00420B53">
      <w:pPr>
        <w:pStyle w:val="Rubrik4"/>
        <w:ind w:firstLine="426"/>
      </w:pPr>
    </w:p>
    <w:p w:rsidR="00420B53" w:rsidRDefault="00420B53" w:rsidP="00420B53">
      <w:pPr>
        <w:pStyle w:val="Rubrik4"/>
        <w:ind w:firstLine="426"/>
        <w:rPr>
          <w:b/>
        </w:rPr>
      </w:pPr>
      <w:r w:rsidRPr="00F37C9A">
        <w:t>Att tänka på vid metotrexatbehandling:</w:t>
      </w:r>
    </w:p>
    <w:p w:rsidR="00420B53" w:rsidRPr="00F37C9A" w:rsidRDefault="00420B53" w:rsidP="00420B53">
      <w:pPr>
        <w:rPr>
          <w:sz w:val="10"/>
          <w:szCs w:val="10"/>
        </w:rPr>
      </w:pPr>
    </w:p>
    <w:p w:rsidR="00420B53" w:rsidRPr="00A901E8" w:rsidRDefault="00420B53" w:rsidP="00420B53">
      <w:pPr>
        <w:pStyle w:val="Liststycke"/>
        <w:numPr>
          <w:ilvl w:val="0"/>
          <w:numId w:val="8"/>
        </w:numPr>
        <w:ind w:hanging="294"/>
      </w:pPr>
      <w:r w:rsidRPr="00972A8B">
        <w:t xml:space="preserve">Patienten kan </w:t>
      </w:r>
      <w:r>
        <w:t>dag 3-7</w:t>
      </w:r>
      <w:r w:rsidRPr="00972A8B">
        <w:t xml:space="preserve"> få ökade buksmärtor efter behandlin</w:t>
      </w:r>
      <w:r>
        <w:t>g med metotrexat. Detta kan vara en behandlingseffekt (cytotoxisk effekt</w:t>
      </w:r>
      <w:r w:rsidRPr="00972A8B">
        <w:t xml:space="preserve"> av metotrexat på trofoblastvävnaden som orsakar tubarabort)</w:t>
      </w:r>
      <w:r>
        <w:t xml:space="preserve"> och är ofta övergående på 4-12 h. S</w:t>
      </w:r>
      <w:r w:rsidRPr="00972A8B">
        <w:t xml:space="preserve">märtan </w:t>
      </w:r>
      <w:r>
        <w:t xml:space="preserve">kan också </w:t>
      </w:r>
      <w:r w:rsidRPr="00972A8B">
        <w:t>vara orsakad av tuba</w:t>
      </w:r>
      <w:r>
        <w:t>r</w:t>
      </w:r>
      <w:r w:rsidRPr="00972A8B">
        <w:t>ruptur</w:t>
      </w:r>
      <w:r>
        <w:t xml:space="preserve"> och är då kraftig och persisterande</w:t>
      </w:r>
      <w:r w:rsidRPr="00972A8B">
        <w:t>. Viktigt att försöka differentiera.</w:t>
      </w:r>
    </w:p>
    <w:p w:rsidR="00420B53" w:rsidRPr="00501D78" w:rsidRDefault="00420B53" w:rsidP="00420B53">
      <w:pPr>
        <w:pStyle w:val="Liststycke"/>
        <w:numPr>
          <w:ilvl w:val="0"/>
          <w:numId w:val="8"/>
        </w:numPr>
        <w:ind w:hanging="294"/>
        <w:rPr>
          <w:color w:val="000000" w:themeColor="text1"/>
        </w:rPr>
      </w:pPr>
      <w:r>
        <w:t>Under</w:t>
      </w:r>
      <w:r w:rsidRPr="00A11EE8">
        <w:t xml:space="preserve"> metotrexatbehandling (som är en folsyreantagonist) </w:t>
      </w:r>
      <w:r>
        <w:t xml:space="preserve">bör patienten uppmanas seponera ev behandling med folsyra </w:t>
      </w:r>
      <w:r w:rsidRPr="00501D78">
        <w:rPr>
          <w:color w:val="000000" w:themeColor="text1"/>
        </w:rPr>
        <w:t>då det minskar effekten av metotrexat.</w:t>
      </w:r>
    </w:p>
    <w:p w:rsidR="00420B53" w:rsidRDefault="00420B53" w:rsidP="00420B53">
      <w:pPr>
        <w:pStyle w:val="Liststycke"/>
        <w:numPr>
          <w:ilvl w:val="0"/>
          <w:numId w:val="8"/>
        </w:numPr>
        <w:ind w:hanging="294"/>
      </w:pPr>
      <w:r>
        <w:t xml:space="preserve">Evidens saknas för att rekommendera patienten karenstid inför framtida graviditetsförsök. </w:t>
      </w:r>
    </w:p>
    <w:p w:rsidR="00420B53" w:rsidRPr="00A901E8" w:rsidRDefault="00420B53" w:rsidP="00420B53">
      <w:pPr>
        <w:pStyle w:val="Liststycke"/>
        <w:numPr>
          <w:ilvl w:val="0"/>
          <w:numId w:val="8"/>
        </w:numPr>
        <w:ind w:hanging="294"/>
        <w:rPr>
          <w:color w:val="000000" w:themeColor="text1"/>
        </w:rPr>
      </w:pPr>
      <w:r w:rsidRPr="0016094E">
        <w:rPr>
          <w:color w:val="000000" w:themeColor="text1"/>
        </w:rPr>
        <w:t>Innan ny planerad graviditet bör patienten påbörja behandling med T Folsyra 5 mg.</w:t>
      </w:r>
    </w:p>
    <w:p w:rsidR="00420B53" w:rsidRDefault="00420B53" w:rsidP="00420B53">
      <w:pPr>
        <w:pStyle w:val="Rubrik3"/>
        <w:keepLines/>
        <w:widowControl/>
        <w:numPr>
          <w:ilvl w:val="0"/>
          <w:numId w:val="4"/>
        </w:numPr>
        <w:spacing w:before="200"/>
      </w:pPr>
      <w:bookmarkStart w:id="9" w:name="_Toc319214847"/>
      <w:r w:rsidRPr="00E95982">
        <w:t>Expektans</w:t>
      </w:r>
      <w:bookmarkEnd w:id="9"/>
      <w:r w:rsidRPr="00E95982">
        <w:t xml:space="preserve"> </w:t>
      </w:r>
    </w:p>
    <w:p w:rsidR="00420B53" w:rsidRPr="00F37C9A" w:rsidRDefault="00420B53" w:rsidP="00420B53"/>
    <w:p w:rsidR="00420B53" w:rsidRDefault="00420B53" w:rsidP="00420B53">
      <w:pPr>
        <w:ind w:left="360"/>
      </w:pPr>
      <w:r>
        <w:t xml:space="preserve">Viktigt att informera patienten om att behandlingen kan misslyckas och kräva ytterligare intervention, samt att den kräver upprepade provtagningar och kontroller ofta under längre tid. </w:t>
      </w:r>
    </w:p>
    <w:p w:rsidR="00420B53" w:rsidRPr="00E95982" w:rsidRDefault="00420B53" w:rsidP="00420B53"/>
    <w:p w:rsidR="00420B53" w:rsidRDefault="00420B53" w:rsidP="00420B53">
      <w:pPr>
        <w:pStyle w:val="Rubrik4"/>
        <w:ind w:firstLine="426"/>
        <w:rPr>
          <w:b/>
        </w:rPr>
      </w:pPr>
      <w:r w:rsidRPr="00F37C9A">
        <w:t>Förutsättningar:</w:t>
      </w:r>
    </w:p>
    <w:p w:rsidR="00420B53" w:rsidRPr="00F37C9A" w:rsidRDefault="00420B53" w:rsidP="00420B53">
      <w:pPr>
        <w:rPr>
          <w:sz w:val="10"/>
          <w:szCs w:val="10"/>
        </w:rPr>
      </w:pPr>
    </w:p>
    <w:p w:rsidR="00420B53" w:rsidRPr="00E95982" w:rsidRDefault="00420B53" w:rsidP="00420B53">
      <w:pPr>
        <w:pStyle w:val="Liststycke"/>
        <w:numPr>
          <w:ilvl w:val="0"/>
          <w:numId w:val="2"/>
        </w:numPr>
        <w:ind w:hanging="294"/>
      </w:pPr>
      <w:r w:rsidRPr="00501D78">
        <w:t>S-hCG &lt; 1000 IU/L</w:t>
      </w:r>
      <w:r>
        <w:t xml:space="preserve"> , </w:t>
      </w:r>
      <w:r w:rsidRPr="00E95982">
        <w:t>företrädesvis sjunkande</w:t>
      </w:r>
      <w:r>
        <w:t xml:space="preserve"> </w:t>
      </w:r>
    </w:p>
    <w:p w:rsidR="00420B53" w:rsidRPr="00E95982" w:rsidRDefault="00420B53" w:rsidP="00420B53">
      <w:pPr>
        <w:pStyle w:val="Liststycke"/>
        <w:numPr>
          <w:ilvl w:val="0"/>
          <w:numId w:val="2"/>
        </w:numPr>
        <w:ind w:hanging="294"/>
      </w:pPr>
      <w:r>
        <w:t>C</w:t>
      </w:r>
      <w:r w:rsidRPr="00E95982">
        <w:t>irkulatoriskt stabil</w:t>
      </w:r>
      <w:r>
        <w:t xml:space="preserve"> patient</w:t>
      </w:r>
    </w:p>
    <w:p w:rsidR="00420B53" w:rsidRPr="00E95982" w:rsidRDefault="00420B53" w:rsidP="00420B53">
      <w:pPr>
        <w:pStyle w:val="Liststycke"/>
        <w:numPr>
          <w:ilvl w:val="0"/>
          <w:numId w:val="2"/>
        </w:numPr>
        <w:ind w:hanging="294"/>
      </w:pPr>
      <w:r>
        <w:t>O</w:t>
      </w:r>
      <w:r w:rsidRPr="00E95982">
        <w:t>betydlig bukstatus</w:t>
      </w:r>
    </w:p>
    <w:p w:rsidR="00420B53" w:rsidRPr="00E95982" w:rsidRDefault="00420B53" w:rsidP="00420B53">
      <w:pPr>
        <w:pStyle w:val="Liststycke"/>
        <w:numPr>
          <w:ilvl w:val="0"/>
          <w:numId w:val="2"/>
        </w:numPr>
        <w:ind w:hanging="294"/>
      </w:pPr>
      <w:r>
        <w:t xml:space="preserve">Minimal mängd </w:t>
      </w:r>
      <w:r w:rsidRPr="00E95982">
        <w:t>fri vätska i buken</w:t>
      </w:r>
    </w:p>
    <w:p w:rsidR="00420B53" w:rsidRPr="005614AD" w:rsidRDefault="00420B53" w:rsidP="00420B53">
      <w:pPr>
        <w:pStyle w:val="Liststycke"/>
        <w:numPr>
          <w:ilvl w:val="0"/>
          <w:numId w:val="2"/>
        </w:numPr>
        <w:ind w:hanging="294"/>
      </w:pPr>
      <w:r>
        <w:t>P</w:t>
      </w:r>
      <w:r w:rsidRPr="005614AD">
        <w:t xml:space="preserve">at bör </w:t>
      </w:r>
      <w:r>
        <w:t xml:space="preserve">inte </w:t>
      </w:r>
      <w:r w:rsidRPr="005614AD">
        <w:t>vistas ensam och ha nära tillgång till akutsjukhus</w:t>
      </w:r>
    </w:p>
    <w:p w:rsidR="00420B53" w:rsidRPr="00A901E8" w:rsidRDefault="00420B53" w:rsidP="00420B53">
      <w:pPr>
        <w:pStyle w:val="Liststycke"/>
        <w:numPr>
          <w:ilvl w:val="0"/>
          <w:numId w:val="2"/>
        </w:numPr>
        <w:ind w:hanging="294"/>
      </w:pPr>
      <w:r>
        <w:t>Pat</w:t>
      </w:r>
      <w:r w:rsidRPr="005614AD">
        <w:t xml:space="preserve"> inte önskar medicinsk/kirurgisk behandling</w:t>
      </w:r>
    </w:p>
    <w:p w:rsidR="00420B53" w:rsidRDefault="00420B53" w:rsidP="00420B53">
      <w:pPr>
        <w:pStyle w:val="Rubrik4"/>
        <w:ind w:firstLine="426"/>
      </w:pPr>
    </w:p>
    <w:p w:rsidR="00420B53" w:rsidRDefault="00420B53" w:rsidP="00420B53">
      <w:pPr>
        <w:pStyle w:val="Rubrik4"/>
        <w:ind w:firstLine="426"/>
        <w:rPr>
          <w:b/>
        </w:rPr>
      </w:pPr>
      <w:r w:rsidRPr="00F37C9A">
        <w:t>Uppföljning:</w:t>
      </w:r>
    </w:p>
    <w:p w:rsidR="00420B53" w:rsidRPr="00F37C9A" w:rsidRDefault="00420B53" w:rsidP="00420B53">
      <w:pPr>
        <w:rPr>
          <w:sz w:val="10"/>
          <w:szCs w:val="10"/>
        </w:rPr>
      </w:pPr>
    </w:p>
    <w:p w:rsidR="00420B53" w:rsidRPr="00A901E8" w:rsidRDefault="00420B53" w:rsidP="00420B53">
      <w:pPr>
        <w:pStyle w:val="Liststycke"/>
        <w:numPr>
          <w:ilvl w:val="0"/>
          <w:numId w:val="3"/>
        </w:numPr>
        <w:ind w:hanging="294"/>
      </w:pPr>
      <w:r>
        <w:t xml:space="preserve">Pat följs polikliniskt (sätts </w:t>
      </w:r>
      <w:r w:rsidRPr="00E95982">
        <w:t>up</w:t>
      </w:r>
      <w:r>
        <w:t>p</w:t>
      </w:r>
      <w:r w:rsidRPr="00E95982">
        <w:t xml:space="preserve"> i s-hCG kalendern på gynakuten)</w:t>
      </w:r>
      <w:r>
        <w:t xml:space="preserve"> med s-hCG varannan dag</w:t>
      </w:r>
      <w:r w:rsidRPr="00E95982">
        <w:t xml:space="preserve">, </w:t>
      </w:r>
      <w:r>
        <w:t xml:space="preserve">sedan </w:t>
      </w:r>
      <w:r w:rsidRPr="00E95982">
        <w:t>1-2 ggr per vecka, därefter beroende på klinisk b</w:t>
      </w:r>
      <w:r>
        <w:t>il</w:t>
      </w:r>
      <w:r w:rsidRPr="00E95982">
        <w:t xml:space="preserve">d. S-hCG ska följas till icke mätbara nivåer.  </w:t>
      </w:r>
    </w:p>
    <w:p w:rsidR="00420B53" w:rsidRPr="00FE3391" w:rsidRDefault="00420B53" w:rsidP="00420B53">
      <w:pPr>
        <w:pStyle w:val="Rubrik3"/>
        <w:keepLines/>
        <w:widowControl/>
        <w:numPr>
          <w:ilvl w:val="0"/>
          <w:numId w:val="4"/>
        </w:numPr>
        <w:spacing w:before="200"/>
      </w:pPr>
      <w:bookmarkStart w:id="10" w:name="_Toc319214848"/>
      <w:r w:rsidRPr="00FE3391">
        <w:t>Behandling av atypiska extrauterina gravid</w:t>
      </w:r>
      <w:r>
        <w:t>i</w:t>
      </w:r>
      <w:r w:rsidRPr="00FE3391">
        <w:t>teter</w:t>
      </w:r>
      <w:bookmarkEnd w:id="10"/>
    </w:p>
    <w:p w:rsidR="00420B53" w:rsidRDefault="00420B53" w:rsidP="00420B53">
      <w:pPr>
        <w:rPr>
          <w:b/>
        </w:rPr>
      </w:pPr>
    </w:p>
    <w:p w:rsidR="00420B53" w:rsidRPr="00C84FD1" w:rsidRDefault="00420B53" w:rsidP="00420B53">
      <w:pPr>
        <w:ind w:left="426"/>
      </w:pPr>
      <w:r>
        <w:t>Vid misstanke om atypiskt X, konsultera senior kollega!</w:t>
      </w:r>
    </w:p>
    <w:p w:rsidR="00420B53" w:rsidRPr="00532432" w:rsidRDefault="00420B53" w:rsidP="00420B53">
      <w:pPr>
        <w:ind w:left="426"/>
        <w:rPr>
          <w:b/>
        </w:rPr>
      </w:pPr>
    </w:p>
    <w:p w:rsidR="00420B53" w:rsidRPr="004D597E" w:rsidRDefault="00420B53" w:rsidP="00420B53">
      <w:pPr>
        <w:ind w:left="426"/>
      </w:pPr>
      <w:r w:rsidRPr="00532432">
        <w:rPr>
          <w:i/>
        </w:rPr>
        <w:t>Interstitell graviditet</w:t>
      </w:r>
      <w:r w:rsidRPr="00A11EE8">
        <w:rPr>
          <w:i/>
        </w:rPr>
        <w:t xml:space="preserve"> </w:t>
      </w:r>
      <w:r w:rsidRPr="00532432">
        <w:t>som sitter i uterushörnet</w:t>
      </w:r>
      <w:r>
        <w:t xml:space="preserve"> </w:t>
      </w:r>
      <w:r w:rsidRPr="00532432">
        <w:t>(cornua)</w:t>
      </w:r>
      <w:r>
        <w:t xml:space="preserve"> behandlas i första hand med systemiskt metotrexat, i andra hand laparoskopisk resektion, risk för hysterektomi. Om hjärtaktivitet ses hos fostret kan intraamniotisk och/eller intrafetal injektion med kaliumklorid vara ett alternativ.</w:t>
      </w:r>
    </w:p>
    <w:p w:rsidR="00420B53" w:rsidRDefault="00420B53" w:rsidP="00420B53">
      <w:pPr>
        <w:ind w:left="426"/>
      </w:pPr>
    </w:p>
    <w:p w:rsidR="00420B53" w:rsidRDefault="00420B53" w:rsidP="00420B53">
      <w:pPr>
        <w:ind w:left="426"/>
      </w:pPr>
      <w:r>
        <w:rPr>
          <w:i/>
        </w:rPr>
        <w:t xml:space="preserve">Ovariell och tidig abdominell graviditet </w:t>
      </w:r>
      <w:r w:rsidRPr="00C84FD1">
        <w:t>upptäcks vanligen i sam</w:t>
      </w:r>
      <w:r w:rsidRPr="00532432">
        <w:t>band med exploration och behandlas</w:t>
      </w:r>
      <w:r>
        <w:t xml:space="preserve"> då med begränsad laparoskopisk excision. Sen abdominell gravidtet kan vara odiagnosticerad trots rutinultraljud och ge sig tillkänna först vid intraabdominell blödning som kräver omedelbar laparotomi.</w:t>
      </w:r>
    </w:p>
    <w:p w:rsidR="00420B53" w:rsidRDefault="00420B53" w:rsidP="00420B53">
      <w:pPr>
        <w:ind w:left="426"/>
      </w:pPr>
    </w:p>
    <w:p w:rsidR="00420B53" w:rsidRDefault="00420B53" w:rsidP="00420B53">
      <w:pPr>
        <w:widowControl/>
        <w:ind w:left="426"/>
        <w:rPr>
          <w:i/>
        </w:rPr>
      </w:pPr>
      <w:r>
        <w:rPr>
          <w:i/>
        </w:rPr>
        <w:br w:type="page"/>
      </w:r>
    </w:p>
    <w:p w:rsidR="00420B53" w:rsidRDefault="00420B53" w:rsidP="00420B53">
      <w:pPr>
        <w:ind w:left="426"/>
      </w:pPr>
      <w:r w:rsidRPr="00532432">
        <w:rPr>
          <w:i/>
        </w:rPr>
        <w:t>Gravid</w:t>
      </w:r>
      <w:r>
        <w:rPr>
          <w:i/>
        </w:rPr>
        <w:t>i</w:t>
      </w:r>
      <w:r w:rsidRPr="00532432">
        <w:rPr>
          <w:i/>
        </w:rPr>
        <w:t xml:space="preserve">tet i cervix </w:t>
      </w:r>
      <w:r w:rsidRPr="00532432">
        <w:t>är ett potentiellt</w:t>
      </w:r>
      <w:r>
        <w:rPr>
          <w:i/>
        </w:rPr>
        <w:t xml:space="preserve"> </w:t>
      </w:r>
      <w:r>
        <w:t>allvarligt tillstånd med risk för profus blödning även i tidigt skede. Behandling med systemiskt metotrexat alternativ embolisering av a. uterina bilat. Om hjärtaktivitet ses kan intraamniotisk och/eller intrafetal injektion med kaliumklorid eller metotrexat vara ett alternativ.</w:t>
      </w:r>
    </w:p>
    <w:p w:rsidR="00420B53" w:rsidRDefault="00420B53" w:rsidP="00420B53">
      <w:pPr>
        <w:ind w:left="426"/>
      </w:pPr>
    </w:p>
    <w:p w:rsidR="00420B53" w:rsidRDefault="00420B53" w:rsidP="00420B53">
      <w:pPr>
        <w:widowControl/>
        <w:ind w:left="426"/>
      </w:pPr>
      <w:r w:rsidRPr="00532432">
        <w:rPr>
          <w:i/>
        </w:rPr>
        <w:t>Ärrgravid</w:t>
      </w:r>
      <w:r>
        <w:rPr>
          <w:i/>
        </w:rPr>
        <w:t>i</w:t>
      </w:r>
      <w:r w:rsidRPr="00532432">
        <w:rPr>
          <w:i/>
        </w:rPr>
        <w:t>tet</w:t>
      </w:r>
      <w:r>
        <w:t xml:space="preserve"> efter tidigare sectio är ovanligt men kan orsaka uterusruptur och stor blödning. Vag UL visar hinnsäck i myometriet i nedre uterinsegmentet. Behandlingsalternativ inkluderar systemisk och/eller lokal injektion av metotrexat, exaeres samt excision av trofoblastvävnad via laparoskopi eller laparotomi.</w:t>
      </w:r>
    </w:p>
    <w:p w:rsidR="00420B53" w:rsidRDefault="00420B53" w:rsidP="00420B53">
      <w:pPr>
        <w:ind w:left="426"/>
      </w:pPr>
    </w:p>
    <w:p w:rsidR="00420B53" w:rsidRDefault="00420B53" w:rsidP="00420B53">
      <w:pPr>
        <w:pStyle w:val="Rubrik2"/>
      </w:pPr>
    </w:p>
    <w:p w:rsidR="00420B53" w:rsidRDefault="00420B53" w:rsidP="00420B53">
      <w:pPr>
        <w:pStyle w:val="Rubrik2"/>
        <w:ind w:left="0"/>
      </w:pPr>
      <w:bookmarkStart w:id="11" w:name="_Toc319214849"/>
      <w:r>
        <w:t>Referenser</w:t>
      </w:r>
      <w:bookmarkEnd w:id="11"/>
    </w:p>
    <w:p w:rsidR="00420B53" w:rsidRDefault="00420B53" w:rsidP="00420B53"/>
    <w:p w:rsidR="00420B53" w:rsidRPr="00A12CF3" w:rsidRDefault="002B5FCD" w:rsidP="004D1DE6">
      <w:pPr>
        <w:pStyle w:val="Liststycke"/>
        <w:numPr>
          <w:ilvl w:val="0"/>
          <w:numId w:val="6"/>
        </w:numPr>
        <w:ind w:left="567" w:hanging="283"/>
      </w:pPr>
      <w:hyperlink r:id="rId8" w:history="1">
        <w:r w:rsidR="00420B53" w:rsidRPr="00D87CD4">
          <w:rPr>
            <w:rStyle w:val="Hyperlnk"/>
          </w:rPr>
          <w:t>http://www.internetmedicin.se/page.aspx?id=1927</w:t>
        </w:r>
      </w:hyperlink>
      <w:r w:rsidR="00420B53" w:rsidRPr="00D87CD4">
        <w:t xml:space="preserve">  från 2014</w:t>
      </w:r>
    </w:p>
    <w:p w:rsidR="00420B53" w:rsidRPr="00500F87" w:rsidRDefault="00420B53" w:rsidP="004D1DE6">
      <w:pPr>
        <w:pStyle w:val="Liststycke"/>
        <w:numPr>
          <w:ilvl w:val="0"/>
          <w:numId w:val="5"/>
        </w:numPr>
        <w:ind w:left="567" w:hanging="283"/>
        <w:rPr>
          <w:lang w:val="en-US"/>
        </w:rPr>
      </w:pPr>
      <w:r w:rsidRPr="00500F87">
        <w:rPr>
          <w:lang w:val="en-US"/>
        </w:rPr>
        <w:t xml:space="preserve">RCOG: Tubal Pregnancy, Management (Green-top Guideline No. 21) från 2004: </w:t>
      </w:r>
      <w:hyperlink r:id="rId9" w:history="1">
        <w:r w:rsidR="008C2839" w:rsidRPr="00074B39">
          <w:rPr>
            <w:rStyle w:val="Hyperlnk"/>
            <w:lang w:val="en-US"/>
          </w:rPr>
          <w:t>https://obgyn.onlinelibrary.wiley.com/doi/epdf/10.1111/1471-0528.14189</w:t>
        </w:r>
      </w:hyperlink>
      <w:r w:rsidR="008C2839">
        <w:rPr>
          <w:lang w:val="en-US"/>
        </w:rPr>
        <w:t xml:space="preserve"> </w:t>
      </w:r>
    </w:p>
    <w:p w:rsidR="00420B53" w:rsidRPr="00500F87" w:rsidRDefault="00420B53" w:rsidP="004D1DE6">
      <w:pPr>
        <w:pStyle w:val="Liststycke"/>
        <w:numPr>
          <w:ilvl w:val="0"/>
          <w:numId w:val="5"/>
        </w:numPr>
        <w:ind w:left="567" w:hanging="283"/>
        <w:rPr>
          <w:lang w:val="en-US"/>
        </w:rPr>
      </w:pPr>
      <w:r w:rsidRPr="00500F87">
        <w:rPr>
          <w:lang w:val="en-US"/>
        </w:rPr>
        <w:t xml:space="preserve">ACOG guidelines från 2012: </w:t>
      </w:r>
      <w:hyperlink r:id="rId10" w:history="1">
        <w:r w:rsidRPr="00500F87">
          <w:rPr>
            <w:rStyle w:val="Hyperlnk"/>
            <w:lang w:val="en-US"/>
          </w:rPr>
          <w:t>http://www.guideline.gov/content.aspx?id=12625</w:t>
        </w:r>
      </w:hyperlink>
    </w:p>
    <w:p w:rsidR="00420B53" w:rsidRPr="000F1CC2" w:rsidRDefault="00420B53" w:rsidP="004D1DE6">
      <w:pPr>
        <w:pStyle w:val="Liststycke"/>
        <w:numPr>
          <w:ilvl w:val="0"/>
          <w:numId w:val="5"/>
        </w:numPr>
        <w:ind w:left="567" w:hanging="283"/>
        <w:rPr>
          <w:sz w:val="22"/>
        </w:rPr>
      </w:pPr>
      <w:r>
        <w:t>Obstetrisk och gynekologisk ultraljudsdiagnostik, en klinisk handbok, Elisabet Epsteins, Linda Iorizzo, Studentlitteratur AB, Lund, 2013, Upplaga 1:1</w:t>
      </w:r>
    </w:p>
    <w:p w:rsidR="00420B53" w:rsidRPr="00A12CF3" w:rsidRDefault="00420B53" w:rsidP="004D1DE6">
      <w:pPr>
        <w:pStyle w:val="Liststycke"/>
        <w:numPr>
          <w:ilvl w:val="0"/>
          <w:numId w:val="5"/>
        </w:numPr>
        <w:ind w:left="567" w:hanging="283"/>
        <w:rPr>
          <w:color w:val="000000" w:themeColor="text1"/>
          <w:lang w:val="en-US"/>
        </w:rPr>
      </w:pPr>
      <w:r w:rsidRPr="00D87CD4">
        <w:rPr>
          <w:color w:val="000000" w:themeColor="text1"/>
          <w:lang w:val="en-US"/>
        </w:rPr>
        <w:t>Medical treatment of ectopic pregnancy: a committee opinion, American Society of Reproductive medicine, från 2013</w:t>
      </w:r>
    </w:p>
    <w:p w:rsidR="00420B53" w:rsidRPr="00A12CF3" w:rsidRDefault="00420B53" w:rsidP="004D1DE6">
      <w:pPr>
        <w:pStyle w:val="Liststycke"/>
        <w:numPr>
          <w:ilvl w:val="0"/>
          <w:numId w:val="5"/>
        </w:numPr>
        <w:ind w:left="567" w:hanging="283"/>
        <w:rPr>
          <w:sz w:val="22"/>
          <w:lang w:val="en-US"/>
        </w:rPr>
      </w:pPr>
      <w:r w:rsidRPr="00D87CD4">
        <w:rPr>
          <w:lang w:val="en-US"/>
        </w:rPr>
        <w:t>NICE clinical guideline Ectopic pregnancy and misscarriage: Diagnosis and inital management, från 2012</w:t>
      </w:r>
    </w:p>
    <w:p w:rsidR="00420B53" w:rsidRPr="00A12CF3" w:rsidRDefault="00420B53" w:rsidP="00420B53">
      <w:pPr>
        <w:ind w:left="567" w:hanging="283"/>
        <w:rPr>
          <w:sz w:val="22"/>
          <w:lang w:val="en-US"/>
        </w:rPr>
      </w:pPr>
    </w:p>
    <w:p w:rsidR="00420B53" w:rsidRPr="00E45E7D" w:rsidRDefault="00420B53" w:rsidP="00420B53">
      <w:pPr>
        <w:widowControl/>
        <w:rPr>
          <w:sz w:val="28"/>
          <w:szCs w:val="28"/>
          <w:lang w:val="en-US"/>
        </w:rPr>
      </w:pPr>
    </w:p>
    <w:p w:rsidR="00420B53" w:rsidRPr="00E45E7D" w:rsidRDefault="00420B53" w:rsidP="00420B53">
      <w:pPr>
        <w:widowControl/>
        <w:rPr>
          <w:sz w:val="28"/>
          <w:szCs w:val="28"/>
          <w:lang w:val="en-US"/>
        </w:rPr>
      </w:pPr>
    </w:p>
    <w:p w:rsidR="00420B53" w:rsidRPr="00E45E7D" w:rsidRDefault="00420B53" w:rsidP="00420B53">
      <w:pPr>
        <w:widowControl/>
        <w:rPr>
          <w:b/>
          <w:sz w:val="28"/>
          <w:szCs w:val="28"/>
        </w:rPr>
      </w:pPr>
      <w:r w:rsidRPr="00E45E7D">
        <w:rPr>
          <w:b/>
          <w:sz w:val="28"/>
          <w:szCs w:val="28"/>
        </w:rPr>
        <w:t>Versionshistorik</w:t>
      </w:r>
    </w:p>
    <w:p w:rsidR="00420B53" w:rsidRPr="00E45E7D" w:rsidRDefault="00420B53" w:rsidP="00420B53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420B53" w:rsidRPr="00E45E7D" w:rsidTr="00795321">
        <w:tc>
          <w:tcPr>
            <w:tcW w:w="1242" w:type="dxa"/>
            <w:shd w:val="clear" w:color="auto" w:fill="D9D9D9" w:themeFill="background1" w:themeFillShade="D9"/>
          </w:tcPr>
          <w:p w:rsidR="00420B53" w:rsidRPr="00E45E7D" w:rsidRDefault="00420B53" w:rsidP="00795321">
            <w:pPr>
              <w:spacing w:before="120" w:after="120"/>
              <w:jc w:val="both"/>
              <w:rPr>
                <w:b/>
                <w:bCs/>
              </w:rPr>
            </w:pPr>
            <w:r w:rsidRPr="00E45E7D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420B53" w:rsidRPr="00E45E7D" w:rsidRDefault="00420B53" w:rsidP="00795321">
            <w:pPr>
              <w:spacing w:before="120" w:after="120"/>
              <w:jc w:val="both"/>
              <w:rPr>
                <w:b/>
                <w:bCs/>
              </w:rPr>
            </w:pPr>
            <w:r w:rsidRPr="00E45E7D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420B53" w:rsidRPr="00E45E7D" w:rsidRDefault="00420B53" w:rsidP="00795321">
            <w:pPr>
              <w:spacing w:before="120" w:after="120"/>
              <w:jc w:val="both"/>
              <w:rPr>
                <w:b/>
                <w:bCs/>
              </w:rPr>
            </w:pPr>
            <w:r w:rsidRPr="00E45E7D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420B53" w:rsidRPr="00E45E7D" w:rsidRDefault="00420B53" w:rsidP="00795321">
            <w:pPr>
              <w:spacing w:before="120" w:after="120"/>
              <w:jc w:val="both"/>
              <w:rPr>
                <w:b/>
                <w:bCs/>
              </w:rPr>
            </w:pPr>
            <w:r w:rsidRPr="00E45E7D">
              <w:rPr>
                <w:b/>
                <w:bCs/>
              </w:rPr>
              <w:t>Ansvarig</w:t>
            </w:r>
          </w:p>
        </w:tc>
      </w:tr>
      <w:tr w:rsidR="00A90419" w:rsidRPr="00E45E7D" w:rsidTr="00795321">
        <w:tc>
          <w:tcPr>
            <w:tcW w:w="1242" w:type="dxa"/>
          </w:tcPr>
          <w:p w:rsidR="00A90419" w:rsidRDefault="00A90419" w:rsidP="00795321">
            <w:r>
              <w:t>4</w:t>
            </w:r>
          </w:p>
        </w:tc>
        <w:tc>
          <w:tcPr>
            <w:tcW w:w="1418" w:type="dxa"/>
          </w:tcPr>
          <w:p w:rsidR="00A90419" w:rsidRDefault="00A90419" w:rsidP="00795321">
            <w:r>
              <w:t>18-09-17</w:t>
            </w:r>
          </w:p>
        </w:tc>
        <w:tc>
          <w:tcPr>
            <w:tcW w:w="4248" w:type="dxa"/>
          </w:tcPr>
          <w:p w:rsidR="00A90419" w:rsidRDefault="00A90419" w:rsidP="00795321">
            <w:r>
              <w:t>Förlängning, uppdatering av länkar</w:t>
            </w:r>
          </w:p>
        </w:tc>
        <w:tc>
          <w:tcPr>
            <w:tcW w:w="2303" w:type="dxa"/>
          </w:tcPr>
          <w:p w:rsidR="00A90419" w:rsidRDefault="00A90419" w:rsidP="00795321">
            <w:r>
              <w:t>Ameli Norling</w:t>
            </w:r>
          </w:p>
        </w:tc>
      </w:tr>
      <w:tr w:rsidR="00A90419" w:rsidRPr="00E45E7D" w:rsidTr="00795321">
        <w:tc>
          <w:tcPr>
            <w:tcW w:w="1242" w:type="dxa"/>
          </w:tcPr>
          <w:p w:rsidR="00A90419" w:rsidRPr="00E45E7D" w:rsidRDefault="00A90419" w:rsidP="00795321">
            <w:r>
              <w:t>3</w:t>
            </w:r>
          </w:p>
        </w:tc>
        <w:tc>
          <w:tcPr>
            <w:tcW w:w="1418" w:type="dxa"/>
          </w:tcPr>
          <w:p w:rsidR="00A90419" w:rsidRDefault="00A90419" w:rsidP="00795321">
            <w:r>
              <w:t>17-09-27</w:t>
            </w:r>
          </w:p>
        </w:tc>
        <w:tc>
          <w:tcPr>
            <w:tcW w:w="4248" w:type="dxa"/>
          </w:tcPr>
          <w:p w:rsidR="00A90419" w:rsidRDefault="00A90419" w:rsidP="00795321">
            <w:r>
              <w:t>Ny version</w:t>
            </w:r>
          </w:p>
        </w:tc>
        <w:tc>
          <w:tcPr>
            <w:tcW w:w="2303" w:type="dxa"/>
          </w:tcPr>
          <w:p w:rsidR="00A90419" w:rsidRDefault="00A90419" w:rsidP="00795321">
            <w:r>
              <w:t>Ameli Norling</w:t>
            </w:r>
          </w:p>
        </w:tc>
      </w:tr>
      <w:tr w:rsidR="00420B53" w:rsidRPr="00E45E7D" w:rsidTr="00795321">
        <w:tc>
          <w:tcPr>
            <w:tcW w:w="1242" w:type="dxa"/>
          </w:tcPr>
          <w:p w:rsidR="00420B53" w:rsidRPr="00E45E7D" w:rsidRDefault="00A90419" w:rsidP="00795321">
            <w:r>
              <w:t>2</w:t>
            </w:r>
          </w:p>
        </w:tc>
        <w:tc>
          <w:tcPr>
            <w:tcW w:w="1418" w:type="dxa"/>
          </w:tcPr>
          <w:p w:rsidR="00420B53" w:rsidRPr="00E45E7D" w:rsidRDefault="00420B53" w:rsidP="00795321"/>
        </w:tc>
        <w:tc>
          <w:tcPr>
            <w:tcW w:w="4248" w:type="dxa"/>
          </w:tcPr>
          <w:p w:rsidR="00420B53" w:rsidRPr="00E45E7D" w:rsidRDefault="00420B53" w:rsidP="00795321"/>
        </w:tc>
        <w:tc>
          <w:tcPr>
            <w:tcW w:w="2303" w:type="dxa"/>
          </w:tcPr>
          <w:p w:rsidR="00420B53" w:rsidRPr="00E45E7D" w:rsidRDefault="00420B53" w:rsidP="00795321"/>
        </w:tc>
      </w:tr>
      <w:tr w:rsidR="00420B53" w:rsidRPr="00E45E7D" w:rsidTr="00795321">
        <w:tc>
          <w:tcPr>
            <w:tcW w:w="1242" w:type="dxa"/>
          </w:tcPr>
          <w:p w:rsidR="00420B53" w:rsidRPr="00E45E7D" w:rsidRDefault="00420B53" w:rsidP="00795321">
            <w:r w:rsidRPr="00E45E7D">
              <w:t>1</w:t>
            </w:r>
          </w:p>
        </w:tc>
        <w:tc>
          <w:tcPr>
            <w:tcW w:w="1418" w:type="dxa"/>
          </w:tcPr>
          <w:p w:rsidR="00420B53" w:rsidRPr="00E45E7D" w:rsidRDefault="00420B53" w:rsidP="00795321">
            <w:r w:rsidRPr="00E45E7D">
              <w:t>16-03-11</w:t>
            </w:r>
          </w:p>
        </w:tc>
        <w:tc>
          <w:tcPr>
            <w:tcW w:w="4248" w:type="dxa"/>
          </w:tcPr>
          <w:p w:rsidR="00420B53" w:rsidRPr="00E45E7D" w:rsidRDefault="00420B53" w:rsidP="00795321">
            <w:r w:rsidRPr="00E45E7D">
              <w:t xml:space="preserve">PM inlagt från mapp. Text förändrad. </w:t>
            </w:r>
          </w:p>
        </w:tc>
        <w:tc>
          <w:tcPr>
            <w:tcW w:w="2303" w:type="dxa"/>
          </w:tcPr>
          <w:p w:rsidR="00420B53" w:rsidRPr="00E45E7D" w:rsidRDefault="00420B53" w:rsidP="00795321">
            <w:r w:rsidRPr="00E45E7D">
              <w:t>Gunilla Tegerstedt</w:t>
            </w:r>
          </w:p>
        </w:tc>
      </w:tr>
    </w:tbl>
    <w:p w:rsidR="00420B53" w:rsidRPr="00E45E7D" w:rsidRDefault="00420B53" w:rsidP="00420B53"/>
    <w:p w:rsidR="005262F7" w:rsidRPr="006330C0" w:rsidRDefault="005262F7" w:rsidP="0073674B"/>
    <w:sectPr w:rsidR="005262F7" w:rsidRPr="006330C0" w:rsidSect="00FE15A1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985" w:right="847" w:bottom="1985" w:left="1701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834" w:rsidRDefault="00F37834" w:rsidP="00F47081">
      <w:r>
        <w:separator/>
      </w:r>
    </w:p>
  </w:endnote>
  <w:endnote w:type="continuationSeparator" w:id="0">
    <w:p w:rsidR="00F37834" w:rsidRDefault="00F37834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dvOT2b189473.B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2B5FC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4" w:name="handläggare_sf"/>
          <w:r>
            <w:rPr>
              <w:rFonts w:asciiTheme="minorHAnsi" w:hAnsiTheme="minorHAnsi"/>
              <w:sz w:val="16"/>
              <w:szCs w:val="16"/>
            </w:rPr>
            <w:t>Kristina Walfridsson/Karolinska/SLL;Chatarina Johansson/Karolinska/SLL;Susanne Klintberg/SLL/SLL</w:t>
          </w:r>
          <w:bookmarkEnd w:id="14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2B5FC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dokumentnr_sf"/>
          <w:bookmarkStart w:id="16" w:name="löpnummer_sf"/>
          <w:bookmarkEnd w:id="15"/>
          <w:r>
            <w:rPr>
              <w:rFonts w:asciiTheme="minorHAnsi" w:hAnsiTheme="minorHAnsi"/>
              <w:sz w:val="16"/>
              <w:szCs w:val="16"/>
            </w:rPr>
            <w:t>Kar2-11956</w:t>
          </w:r>
          <w:bookmarkEnd w:id="16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2B5FC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fastställare_sf"/>
          <w:r>
            <w:rPr>
              <w:rFonts w:asciiTheme="minorHAnsi" w:hAnsiTheme="minorHAnsi"/>
              <w:sz w:val="16"/>
              <w:szCs w:val="16"/>
            </w:rPr>
            <w:t>Ronak Perot/Karolinska/SLL</w:t>
          </w:r>
          <w:bookmarkEnd w:id="17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2B5FC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version_sf"/>
          <w:r>
            <w:rPr>
              <w:rFonts w:asciiTheme="minorHAnsi" w:hAnsiTheme="minorHAnsi"/>
              <w:sz w:val="16"/>
              <w:szCs w:val="16"/>
            </w:rPr>
            <w:t>4</w:t>
          </w:r>
          <w:bookmarkEnd w:id="18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organisation_sf"/>
          <w:bookmarkEnd w:id="19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2B5FCD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0" w:name="giltigdatum_sf"/>
          <w:r>
            <w:rPr>
              <w:rFonts w:asciiTheme="minorHAnsi" w:hAnsiTheme="minorHAnsi"/>
              <w:sz w:val="16"/>
              <w:szCs w:val="16"/>
            </w:rPr>
            <w:t>2018-09-18</w:t>
          </w:r>
          <w:bookmarkEnd w:id="20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BB044B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2B5FCD">
            <w:rPr>
              <w:rFonts w:asciiTheme="minorHAnsi" w:hAnsiTheme="minorHAnsi"/>
              <w:noProof/>
              <w:sz w:val="16"/>
              <w:szCs w:val="16"/>
            </w:rPr>
            <w:t>2020-10-02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2B5FCD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2B5FC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4" w:name="handläggare"/>
          <w:r>
            <w:rPr>
              <w:rFonts w:asciiTheme="minorHAnsi" w:hAnsiTheme="minorHAnsi"/>
              <w:sz w:val="16"/>
              <w:szCs w:val="16"/>
            </w:rPr>
            <w:t>Kristina Walfridsson/Karolinska/SLL;Chatarina Johansson/Karolinska/SLL;Susanne Klintberg/SLL/SLL</w:t>
          </w:r>
          <w:bookmarkEnd w:id="24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2B5FCD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5" w:name="löpnummer"/>
          <w:r>
            <w:rPr>
              <w:rFonts w:asciiTheme="minorHAnsi" w:hAnsiTheme="minorHAnsi"/>
              <w:sz w:val="16"/>
              <w:szCs w:val="16"/>
            </w:rPr>
            <w:t>Kar2-11956</w:t>
          </w:r>
          <w:bookmarkEnd w:id="25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2B5FC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6" w:name="fastställare"/>
          <w:r>
            <w:rPr>
              <w:rFonts w:asciiTheme="minorHAnsi" w:hAnsiTheme="minorHAnsi"/>
              <w:sz w:val="16"/>
              <w:szCs w:val="16"/>
            </w:rPr>
            <w:t>Ronak Perot/Karolinska/SLL</w:t>
          </w:r>
          <w:bookmarkEnd w:id="26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2B5FCD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7" w:name="version"/>
          <w:r>
            <w:rPr>
              <w:rFonts w:asciiTheme="minorHAnsi" w:hAnsiTheme="minorHAnsi"/>
              <w:sz w:val="16"/>
              <w:szCs w:val="16"/>
            </w:rPr>
            <w:t>4</w:t>
          </w:r>
          <w:bookmarkEnd w:id="27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8" w:name="Organisation"/>
          <w:bookmarkEnd w:id="28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2B5FC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9" w:name="giltigdatum"/>
          <w:r>
            <w:rPr>
              <w:rFonts w:asciiTheme="minorHAnsi" w:hAnsiTheme="minorHAnsi"/>
              <w:sz w:val="16"/>
              <w:szCs w:val="16"/>
            </w:rPr>
            <w:t>2018-09-18</w:t>
          </w:r>
          <w:bookmarkEnd w:id="29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BB044B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2B5FCD">
            <w:rPr>
              <w:rFonts w:asciiTheme="minorHAnsi" w:hAnsiTheme="minorHAnsi"/>
              <w:noProof/>
              <w:sz w:val="16"/>
              <w:szCs w:val="16"/>
            </w:rPr>
            <w:t>2020-10-02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2B5FCD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834" w:rsidRDefault="00F37834" w:rsidP="00F47081">
      <w:r>
        <w:separator/>
      </w:r>
    </w:p>
  </w:footnote>
  <w:footnote w:type="continuationSeparator" w:id="0">
    <w:p w:rsidR="00F37834" w:rsidRDefault="00F37834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ED1C5C">
      <w:tc>
        <w:tcPr>
          <w:tcW w:w="4077" w:type="dxa"/>
        </w:tcPr>
        <w:p w:rsidR="001C5ECA" w:rsidRPr="00123992" w:rsidRDefault="00ED1C5C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</w:rPr>
            <w:drawing>
              <wp:inline distT="0" distB="0" distL="0" distR="0">
                <wp:extent cx="567447" cy="800100"/>
                <wp:effectExtent l="19050" t="0" r="4053" b="0"/>
                <wp:docPr id="2" name="Bildobjekt 1" descr="KAROLINSKA_K_LOGO_s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AROLINSKA_K_LOGO_sRGB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802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7" w:type="dxa"/>
        </w:tcPr>
        <w:p w:rsidR="001C5ECA" w:rsidRPr="00123992" w:rsidRDefault="002B5FCD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2" w:name="Dokumenttyp_sf"/>
          <w:r>
            <w:rPr>
              <w:rFonts w:asciiTheme="minorHAnsi" w:hAnsiTheme="minorHAnsi"/>
            </w:rPr>
            <w:t>Styrande lokalt dokument</w:t>
          </w:r>
          <w:bookmarkEnd w:id="12"/>
        </w:p>
      </w:tc>
      <w:tc>
        <w:tcPr>
          <w:tcW w:w="1346" w:type="dxa"/>
        </w:tcPr>
        <w:p w:rsidR="001C5ECA" w:rsidRPr="00123992" w:rsidRDefault="00BB044B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8B47B1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9C630F">
            <w:rPr>
              <w:rFonts w:asciiTheme="minorHAnsi" w:hAnsiTheme="minorHAnsi"/>
              <w:noProof/>
            </w:rPr>
            <w:fldChar w:fldCharType="begin"/>
          </w:r>
          <w:r w:rsidR="009C630F">
            <w:rPr>
              <w:rFonts w:asciiTheme="minorHAnsi" w:hAnsiTheme="minorHAnsi"/>
              <w:noProof/>
            </w:rPr>
            <w:instrText xml:space="preserve"> NUMPAGES  \* MERGEFORMAT </w:instrText>
          </w:r>
          <w:r w:rsidR="009C630F">
            <w:rPr>
              <w:rFonts w:asciiTheme="minorHAnsi" w:hAnsiTheme="minorHAnsi"/>
              <w:noProof/>
            </w:rPr>
            <w:fldChar w:fldCharType="separate"/>
          </w:r>
          <w:r w:rsidR="008B47B1" w:rsidRPr="008B47B1">
            <w:rPr>
              <w:rFonts w:asciiTheme="minorHAnsi" w:hAnsiTheme="minorHAnsi"/>
              <w:noProof/>
            </w:rPr>
            <w:t>5</w:t>
          </w:r>
          <w:r w:rsidR="009C630F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ED1C5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3" w:name="arkiverat_sf"/>
          <w:bookmarkEnd w:id="13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6"/>
      <w:gridCol w:w="3449"/>
      <w:gridCol w:w="1289"/>
    </w:tblGrid>
    <w:tr w:rsidR="00363F7D" w:rsidRPr="00123992" w:rsidTr="008F5F42">
      <w:tc>
        <w:tcPr>
          <w:tcW w:w="4361" w:type="dxa"/>
        </w:tcPr>
        <w:p w:rsidR="00363F7D" w:rsidRPr="00123992" w:rsidRDefault="002E665F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</w:rPr>
            <w:drawing>
              <wp:inline distT="0" distB="0" distL="0" distR="0">
                <wp:extent cx="2906640" cy="647700"/>
                <wp:effectExtent l="19050" t="0" r="8010" b="0"/>
                <wp:docPr id="1" name="Bildobjekt 0" descr="KAROLINSKA_LOGO_sRGB_201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AROLINSKA_LOGO_sRGB_2016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2921" cy="6513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3" w:type="dxa"/>
        </w:tcPr>
        <w:p w:rsidR="003A5662" w:rsidRPr="00123992" w:rsidRDefault="002B5FCD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1" w:name="Dokumenttyp"/>
          <w:r>
            <w:rPr>
              <w:rFonts w:asciiTheme="minorHAnsi" w:hAnsiTheme="minorHAnsi"/>
            </w:rPr>
            <w:t>Styrande lokalt dokument</w:t>
          </w:r>
          <w:bookmarkEnd w:id="21"/>
        </w:p>
      </w:tc>
      <w:tc>
        <w:tcPr>
          <w:tcW w:w="1346" w:type="dxa"/>
        </w:tcPr>
        <w:p w:rsidR="00363F7D" w:rsidRPr="00123992" w:rsidRDefault="00BB044B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8B47B1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9C630F">
            <w:rPr>
              <w:rFonts w:asciiTheme="minorHAnsi" w:hAnsiTheme="minorHAnsi"/>
              <w:noProof/>
            </w:rPr>
            <w:fldChar w:fldCharType="begin"/>
          </w:r>
          <w:r w:rsidR="009C630F">
            <w:rPr>
              <w:rFonts w:asciiTheme="minorHAnsi" w:hAnsiTheme="minorHAnsi"/>
              <w:noProof/>
            </w:rPr>
            <w:instrText xml:space="preserve"> NUMPAGES  \* MERGEFORMAT </w:instrText>
          </w:r>
          <w:r w:rsidR="009C630F">
            <w:rPr>
              <w:rFonts w:asciiTheme="minorHAnsi" w:hAnsiTheme="minorHAnsi"/>
              <w:noProof/>
            </w:rPr>
            <w:fldChar w:fldCharType="separate"/>
          </w:r>
          <w:r w:rsidR="008B47B1" w:rsidRPr="008B47B1">
            <w:rPr>
              <w:rFonts w:asciiTheme="minorHAnsi" w:hAnsiTheme="minorHAnsi"/>
              <w:noProof/>
            </w:rPr>
            <w:t>5</w:t>
          </w:r>
          <w:r w:rsidR="009C630F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3A5662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bookmarkStart w:id="22" w:name="giltigdatum_ny"/>
          <w:bookmarkEnd w:id="22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23" w:name="arkiverat"/>
          <w:bookmarkEnd w:id="23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0739"/>
    <w:multiLevelType w:val="hybridMultilevel"/>
    <w:tmpl w:val="7F16D2B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20807"/>
    <w:multiLevelType w:val="hybridMultilevel"/>
    <w:tmpl w:val="BDD0887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E7169"/>
    <w:multiLevelType w:val="hybridMultilevel"/>
    <w:tmpl w:val="20AE07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B33CD"/>
    <w:multiLevelType w:val="hybridMultilevel"/>
    <w:tmpl w:val="E54E78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307BE"/>
    <w:multiLevelType w:val="hybridMultilevel"/>
    <w:tmpl w:val="C4CC7E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C549B"/>
    <w:multiLevelType w:val="hybridMultilevel"/>
    <w:tmpl w:val="009CA7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953FB"/>
    <w:multiLevelType w:val="hybridMultilevel"/>
    <w:tmpl w:val="53762E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86D6B"/>
    <w:multiLevelType w:val="hybridMultilevel"/>
    <w:tmpl w:val="F4E2406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11EFA"/>
    <w:multiLevelType w:val="hybridMultilevel"/>
    <w:tmpl w:val="3F32B9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A3AC2"/>
    <w:multiLevelType w:val="hybridMultilevel"/>
    <w:tmpl w:val="ED1E25B6"/>
    <w:lvl w:ilvl="0" w:tplc="61DCC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F79D3"/>
    <w:multiLevelType w:val="hybridMultilevel"/>
    <w:tmpl w:val="2A2E9E7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BD1EF9"/>
    <w:multiLevelType w:val="hybridMultilevel"/>
    <w:tmpl w:val="F0023D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933BF"/>
    <w:multiLevelType w:val="hybridMultilevel"/>
    <w:tmpl w:val="A32C7D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0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7"/>
  </w:num>
  <w:num w:numId="10">
    <w:abstractNumId w:val="11"/>
  </w:num>
  <w:num w:numId="11">
    <w:abstractNumId w:val="12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10352"/>
    <w:rsid w:val="000114E3"/>
    <w:rsid w:val="00015875"/>
    <w:rsid w:val="00046063"/>
    <w:rsid w:val="00046189"/>
    <w:rsid w:val="00047788"/>
    <w:rsid w:val="00047E0F"/>
    <w:rsid w:val="00051851"/>
    <w:rsid w:val="000710A0"/>
    <w:rsid w:val="00072F71"/>
    <w:rsid w:val="00080A88"/>
    <w:rsid w:val="00090B26"/>
    <w:rsid w:val="0009414C"/>
    <w:rsid w:val="00097170"/>
    <w:rsid w:val="000A6A10"/>
    <w:rsid w:val="000B17EC"/>
    <w:rsid w:val="000B4D3D"/>
    <w:rsid w:val="000C04C7"/>
    <w:rsid w:val="000D2D99"/>
    <w:rsid w:val="000D4E47"/>
    <w:rsid w:val="000E3AC9"/>
    <w:rsid w:val="000F3530"/>
    <w:rsid w:val="000F4D65"/>
    <w:rsid w:val="00100FDC"/>
    <w:rsid w:val="00101E13"/>
    <w:rsid w:val="001101F1"/>
    <w:rsid w:val="00122483"/>
    <w:rsid w:val="00123992"/>
    <w:rsid w:val="001439DF"/>
    <w:rsid w:val="001504AB"/>
    <w:rsid w:val="001516CD"/>
    <w:rsid w:val="00167279"/>
    <w:rsid w:val="00191D8A"/>
    <w:rsid w:val="0019376C"/>
    <w:rsid w:val="001A1351"/>
    <w:rsid w:val="001C1BBD"/>
    <w:rsid w:val="001C3913"/>
    <w:rsid w:val="001C5ECA"/>
    <w:rsid w:val="001C71C5"/>
    <w:rsid w:val="001D0E4E"/>
    <w:rsid w:val="001E2505"/>
    <w:rsid w:val="001E6A21"/>
    <w:rsid w:val="001F232D"/>
    <w:rsid w:val="001F2B1C"/>
    <w:rsid w:val="00214445"/>
    <w:rsid w:val="00233A25"/>
    <w:rsid w:val="00235B0D"/>
    <w:rsid w:val="002642CE"/>
    <w:rsid w:val="002769F1"/>
    <w:rsid w:val="002A3CBD"/>
    <w:rsid w:val="002B5FCD"/>
    <w:rsid w:val="002C1CF4"/>
    <w:rsid w:val="002C4C2A"/>
    <w:rsid w:val="002C4EDA"/>
    <w:rsid w:val="002C574A"/>
    <w:rsid w:val="002C57F8"/>
    <w:rsid w:val="002E665F"/>
    <w:rsid w:val="002F6D2D"/>
    <w:rsid w:val="00323C05"/>
    <w:rsid w:val="0033668A"/>
    <w:rsid w:val="003539AA"/>
    <w:rsid w:val="00356E00"/>
    <w:rsid w:val="00363F7D"/>
    <w:rsid w:val="00376CF2"/>
    <w:rsid w:val="003A5662"/>
    <w:rsid w:val="003B131D"/>
    <w:rsid w:val="003C230B"/>
    <w:rsid w:val="003C3106"/>
    <w:rsid w:val="003C7DDC"/>
    <w:rsid w:val="003D3D1C"/>
    <w:rsid w:val="003F5240"/>
    <w:rsid w:val="003F7062"/>
    <w:rsid w:val="00402C2E"/>
    <w:rsid w:val="004042DC"/>
    <w:rsid w:val="004056C6"/>
    <w:rsid w:val="00405774"/>
    <w:rsid w:val="00405E69"/>
    <w:rsid w:val="00407F90"/>
    <w:rsid w:val="004111D2"/>
    <w:rsid w:val="00420B53"/>
    <w:rsid w:val="00447EBD"/>
    <w:rsid w:val="00463852"/>
    <w:rsid w:val="00463CE9"/>
    <w:rsid w:val="004644A8"/>
    <w:rsid w:val="00473759"/>
    <w:rsid w:val="00474607"/>
    <w:rsid w:val="004C5F7B"/>
    <w:rsid w:val="004D1DE6"/>
    <w:rsid w:val="004E0843"/>
    <w:rsid w:val="00502B3C"/>
    <w:rsid w:val="00505E91"/>
    <w:rsid w:val="00522CC6"/>
    <w:rsid w:val="00523EAD"/>
    <w:rsid w:val="005253BF"/>
    <w:rsid w:val="005262F7"/>
    <w:rsid w:val="00533490"/>
    <w:rsid w:val="00536E3C"/>
    <w:rsid w:val="00541570"/>
    <w:rsid w:val="00541FCA"/>
    <w:rsid w:val="00543742"/>
    <w:rsid w:val="005647A8"/>
    <w:rsid w:val="00576479"/>
    <w:rsid w:val="00594B6A"/>
    <w:rsid w:val="005A75E6"/>
    <w:rsid w:val="005B04BF"/>
    <w:rsid w:val="005C1E82"/>
    <w:rsid w:val="005C2A6A"/>
    <w:rsid w:val="005C50FF"/>
    <w:rsid w:val="005C7CF9"/>
    <w:rsid w:val="00602275"/>
    <w:rsid w:val="00605C27"/>
    <w:rsid w:val="006138C1"/>
    <w:rsid w:val="00624F6F"/>
    <w:rsid w:val="006330C0"/>
    <w:rsid w:val="00663476"/>
    <w:rsid w:val="0066413E"/>
    <w:rsid w:val="00664ED1"/>
    <w:rsid w:val="006658CE"/>
    <w:rsid w:val="00666B34"/>
    <w:rsid w:val="0067257A"/>
    <w:rsid w:val="00677161"/>
    <w:rsid w:val="0068125E"/>
    <w:rsid w:val="006A552A"/>
    <w:rsid w:val="006D2669"/>
    <w:rsid w:val="006D3EEA"/>
    <w:rsid w:val="006E318F"/>
    <w:rsid w:val="006E5CD4"/>
    <w:rsid w:val="00720662"/>
    <w:rsid w:val="00730505"/>
    <w:rsid w:val="007310E3"/>
    <w:rsid w:val="00732E14"/>
    <w:rsid w:val="0073674B"/>
    <w:rsid w:val="00756427"/>
    <w:rsid w:val="00762575"/>
    <w:rsid w:val="0076688B"/>
    <w:rsid w:val="00773423"/>
    <w:rsid w:val="007825F9"/>
    <w:rsid w:val="00784D4F"/>
    <w:rsid w:val="00792109"/>
    <w:rsid w:val="007A7CD8"/>
    <w:rsid w:val="007C46E0"/>
    <w:rsid w:val="007C481A"/>
    <w:rsid w:val="007D0CB4"/>
    <w:rsid w:val="007D561A"/>
    <w:rsid w:val="00820E06"/>
    <w:rsid w:val="0083084E"/>
    <w:rsid w:val="0084434C"/>
    <w:rsid w:val="008765DF"/>
    <w:rsid w:val="00877AF7"/>
    <w:rsid w:val="00884C34"/>
    <w:rsid w:val="00887EA3"/>
    <w:rsid w:val="00893D63"/>
    <w:rsid w:val="008956CE"/>
    <w:rsid w:val="008A147E"/>
    <w:rsid w:val="008A6A48"/>
    <w:rsid w:val="008B47B1"/>
    <w:rsid w:val="008B6CB0"/>
    <w:rsid w:val="008C2839"/>
    <w:rsid w:val="008C2B03"/>
    <w:rsid w:val="008D143D"/>
    <w:rsid w:val="008D4840"/>
    <w:rsid w:val="008E03CB"/>
    <w:rsid w:val="008E0EDC"/>
    <w:rsid w:val="008F25CC"/>
    <w:rsid w:val="008F2E0A"/>
    <w:rsid w:val="008F5F42"/>
    <w:rsid w:val="008F6310"/>
    <w:rsid w:val="00916924"/>
    <w:rsid w:val="00921EED"/>
    <w:rsid w:val="009229C7"/>
    <w:rsid w:val="00926A38"/>
    <w:rsid w:val="00942C60"/>
    <w:rsid w:val="00946C7B"/>
    <w:rsid w:val="00947A73"/>
    <w:rsid w:val="00964350"/>
    <w:rsid w:val="0097166F"/>
    <w:rsid w:val="009954D8"/>
    <w:rsid w:val="00996DBF"/>
    <w:rsid w:val="009A0B7E"/>
    <w:rsid w:val="009C2F30"/>
    <w:rsid w:val="009C630F"/>
    <w:rsid w:val="009D2946"/>
    <w:rsid w:val="009D51B5"/>
    <w:rsid w:val="009E34D9"/>
    <w:rsid w:val="009E6815"/>
    <w:rsid w:val="009F03FB"/>
    <w:rsid w:val="00A02B84"/>
    <w:rsid w:val="00A1365F"/>
    <w:rsid w:val="00A31276"/>
    <w:rsid w:val="00A50CC6"/>
    <w:rsid w:val="00A63151"/>
    <w:rsid w:val="00A67932"/>
    <w:rsid w:val="00A73FE6"/>
    <w:rsid w:val="00A7734E"/>
    <w:rsid w:val="00A808AE"/>
    <w:rsid w:val="00A80F9E"/>
    <w:rsid w:val="00A83DA6"/>
    <w:rsid w:val="00A90419"/>
    <w:rsid w:val="00AD7B2E"/>
    <w:rsid w:val="00AE2C8C"/>
    <w:rsid w:val="00AF69EE"/>
    <w:rsid w:val="00B00F3E"/>
    <w:rsid w:val="00B2112E"/>
    <w:rsid w:val="00B22B7D"/>
    <w:rsid w:val="00B237A2"/>
    <w:rsid w:val="00B24C48"/>
    <w:rsid w:val="00B46D94"/>
    <w:rsid w:val="00B5688E"/>
    <w:rsid w:val="00B7532A"/>
    <w:rsid w:val="00B81FC6"/>
    <w:rsid w:val="00B85E7F"/>
    <w:rsid w:val="00BA3DB1"/>
    <w:rsid w:val="00BB044B"/>
    <w:rsid w:val="00BB2D58"/>
    <w:rsid w:val="00BB74B1"/>
    <w:rsid w:val="00BC2905"/>
    <w:rsid w:val="00BD7647"/>
    <w:rsid w:val="00BF186B"/>
    <w:rsid w:val="00C11263"/>
    <w:rsid w:val="00C11EF7"/>
    <w:rsid w:val="00C215F0"/>
    <w:rsid w:val="00C27304"/>
    <w:rsid w:val="00C579D4"/>
    <w:rsid w:val="00C712F5"/>
    <w:rsid w:val="00C90CCA"/>
    <w:rsid w:val="00CA6F8A"/>
    <w:rsid w:val="00CB116E"/>
    <w:rsid w:val="00CB341B"/>
    <w:rsid w:val="00CC3836"/>
    <w:rsid w:val="00CC4FA1"/>
    <w:rsid w:val="00CC73B9"/>
    <w:rsid w:val="00CD53DF"/>
    <w:rsid w:val="00CF4644"/>
    <w:rsid w:val="00D204EB"/>
    <w:rsid w:val="00D21D17"/>
    <w:rsid w:val="00D24FFA"/>
    <w:rsid w:val="00D270A5"/>
    <w:rsid w:val="00D3561B"/>
    <w:rsid w:val="00D37D27"/>
    <w:rsid w:val="00D41DAA"/>
    <w:rsid w:val="00D50DA7"/>
    <w:rsid w:val="00D56B21"/>
    <w:rsid w:val="00D60013"/>
    <w:rsid w:val="00D67F3A"/>
    <w:rsid w:val="00D7790F"/>
    <w:rsid w:val="00DA4158"/>
    <w:rsid w:val="00DF3558"/>
    <w:rsid w:val="00DF3638"/>
    <w:rsid w:val="00E169EE"/>
    <w:rsid w:val="00E21228"/>
    <w:rsid w:val="00E63120"/>
    <w:rsid w:val="00E64F96"/>
    <w:rsid w:val="00E7592E"/>
    <w:rsid w:val="00E82565"/>
    <w:rsid w:val="00E94A0B"/>
    <w:rsid w:val="00EA6533"/>
    <w:rsid w:val="00EB626B"/>
    <w:rsid w:val="00EC191C"/>
    <w:rsid w:val="00EC6562"/>
    <w:rsid w:val="00EC6E22"/>
    <w:rsid w:val="00ED1C5C"/>
    <w:rsid w:val="00ED41EB"/>
    <w:rsid w:val="00EE5B69"/>
    <w:rsid w:val="00EE6DF8"/>
    <w:rsid w:val="00EF6425"/>
    <w:rsid w:val="00F0551D"/>
    <w:rsid w:val="00F055D4"/>
    <w:rsid w:val="00F11FD1"/>
    <w:rsid w:val="00F273B9"/>
    <w:rsid w:val="00F37834"/>
    <w:rsid w:val="00F62AA2"/>
    <w:rsid w:val="00F8194A"/>
    <w:rsid w:val="00F93951"/>
    <w:rsid w:val="00FB4BA2"/>
    <w:rsid w:val="00FB7D90"/>
    <w:rsid w:val="00FE15A1"/>
    <w:rsid w:val="00FE277A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CDE04FC3-9EA5-4795-A723-E9B246FE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link w:val="Rubrik1Char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link w:val="Rubrik2Char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link w:val="Rubrik3Char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420B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4Char">
    <w:name w:val="Rubrik 4 Char"/>
    <w:basedOn w:val="Standardstycketeckensnitt"/>
    <w:link w:val="Rubrik4"/>
    <w:uiPriority w:val="9"/>
    <w:semiHidden/>
    <w:rsid w:val="00420B5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Rubrik1Char">
    <w:name w:val="Rubrik 1 Char"/>
    <w:aliases w:val="KU Rubrik 1 Char"/>
    <w:basedOn w:val="Standardstycketeckensnitt"/>
    <w:link w:val="Rubrik1"/>
    <w:rsid w:val="00420B53"/>
    <w:rPr>
      <w:rFonts w:cs="Arial"/>
      <w:b/>
      <w:bCs/>
      <w:kern w:val="32"/>
      <w:sz w:val="28"/>
      <w:szCs w:val="28"/>
    </w:rPr>
  </w:style>
  <w:style w:type="character" w:customStyle="1" w:styleId="Rubrik2Char">
    <w:name w:val="Rubrik 2 Char"/>
    <w:aliases w:val="Ku Rubrik 2 indrag Char"/>
    <w:basedOn w:val="Standardstycketeckensnitt"/>
    <w:link w:val="Rubrik2"/>
    <w:rsid w:val="00420B53"/>
    <w:rPr>
      <w:rFonts w:cs="Arial"/>
      <w:b/>
      <w:bCs/>
      <w:iCs/>
      <w:sz w:val="24"/>
      <w:szCs w:val="28"/>
    </w:rPr>
  </w:style>
  <w:style w:type="character" w:customStyle="1" w:styleId="Rubrik3Char">
    <w:name w:val="Rubrik 3 Char"/>
    <w:aliases w:val="Ku Underrubrik 3 Char"/>
    <w:basedOn w:val="Standardstycketeckensnitt"/>
    <w:link w:val="Rubrik3"/>
    <w:rsid w:val="00420B53"/>
    <w:rPr>
      <w:rFonts w:cs="Arial"/>
      <w:b/>
      <w:bCs/>
      <w:szCs w:val="26"/>
    </w:rPr>
  </w:style>
  <w:style w:type="paragraph" w:styleId="Liststycke">
    <w:name w:val="List Paragraph"/>
    <w:basedOn w:val="Normal"/>
    <w:uiPriority w:val="34"/>
    <w:qFormat/>
    <w:rsid w:val="00420B53"/>
    <w:pPr>
      <w:widowControl/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nk">
    <w:name w:val="Hyperlink"/>
    <w:basedOn w:val="Standardstycketeckensnitt"/>
    <w:uiPriority w:val="99"/>
    <w:unhideWhenUsed/>
    <w:rsid w:val="00420B53"/>
    <w:rPr>
      <w:color w:val="0000FF" w:themeColor="hyperlink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420B53"/>
    <w:pPr>
      <w:keepLines/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styleId="Innehll1">
    <w:name w:val="toc 1"/>
    <w:basedOn w:val="Normal"/>
    <w:next w:val="Normal"/>
    <w:autoRedefine/>
    <w:uiPriority w:val="39"/>
    <w:unhideWhenUsed/>
    <w:rsid w:val="00420B53"/>
    <w:pPr>
      <w:widowControl/>
      <w:spacing w:before="120"/>
    </w:pPr>
    <w:rPr>
      <w:rFonts w:asciiTheme="minorHAnsi" w:eastAsiaTheme="minorEastAsia" w:hAnsiTheme="minorHAnsi" w:cstheme="minorBidi"/>
      <w:b/>
      <w:sz w:val="22"/>
      <w:szCs w:val="22"/>
    </w:rPr>
  </w:style>
  <w:style w:type="paragraph" w:styleId="Innehll2">
    <w:name w:val="toc 2"/>
    <w:basedOn w:val="Normal"/>
    <w:next w:val="Normal"/>
    <w:autoRedefine/>
    <w:uiPriority w:val="39"/>
    <w:unhideWhenUsed/>
    <w:rsid w:val="00420B53"/>
    <w:pPr>
      <w:widowControl/>
      <w:ind w:left="240"/>
    </w:pPr>
    <w:rPr>
      <w:rFonts w:asciiTheme="minorHAnsi" w:eastAsiaTheme="minorEastAsia" w:hAnsiTheme="minorHAnsi" w:cstheme="minorBidi"/>
      <w:i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420B53"/>
    <w:pPr>
      <w:widowControl/>
      <w:ind w:left="480"/>
    </w:pPr>
    <w:rPr>
      <w:rFonts w:asciiTheme="minorHAnsi" w:eastAsiaTheme="minorEastAsia" w:hAnsiTheme="minorHAnsi" w:cstheme="minorBidi"/>
      <w:sz w:val="22"/>
      <w:szCs w:val="22"/>
    </w:rPr>
  </w:style>
  <w:style w:type="character" w:styleId="AnvndHyperlnk">
    <w:name w:val="FollowedHyperlink"/>
    <w:basedOn w:val="Standardstycketeckensnitt"/>
    <w:uiPriority w:val="99"/>
    <w:semiHidden/>
    <w:unhideWhenUsed/>
    <w:rsid w:val="008C2839"/>
    <w:rPr>
      <w:color w:val="800080" w:themeColor="followedHyperlink"/>
      <w:u w:val="single"/>
    </w:rPr>
  </w:style>
  <w:style w:type="character" w:customStyle="1" w:styleId="Olstomnmnande1">
    <w:name w:val="Olöst omnämnande1"/>
    <w:basedOn w:val="Standardstycketeckensnitt"/>
    <w:uiPriority w:val="99"/>
    <w:semiHidden/>
    <w:unhideWhenUsed/>
    <w:rsid w:val="008C283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netmedicin.se/page.aspx?id=1927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guideline.gov/content.aspx?id=1262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bgyn.onlinelibrary.wiley.com/doi/epdf/10.1111/1471-0528.14189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DBF03-B622-40E8-82D2-1040E35C0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7829277C</Template>
  <TotalTime>4</TotalTime>
  <Pages>5</Pages>
  <Words>1757</Words>
  <Characters>9314</Characters>
  <Application>Microsoft Office Word</Application>
  <DocSecurity>0</DocSecurity>
  <Lines>77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</dc:title>
  <dc:creator>Adam</dc:creator>
  <dc:description>Freeducation 2005</dc:description>
  <cp:lastModifiedBy>Susanne Klintberg</cp:lastModifiedBy>
  <cp:revision>21</cp:revision>
  <cp:lastPrinted>2005-03-23T12:04:00Z</cp:lastPrinted>
  <dcterms:created xsi:type="dcterms:W3CDTF">2018-09-17T10:30:00Z</dcterms:created>
  <dcterms:modified xsi:type="dcterms:W3CDTF">2020-10-02T11:34:00Z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921262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