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Rubrik"/>
    <w:p w:rsidR="008C2B03" w:rsidRPr="00BA3DB1" w:rsidRDefault="00BB044B">
      <w:pPr>
        <w:pStyle w:val="Rubrik1"/>
      </w:pPr>
      <w:r>
        <w:rPr>
          <w:lang w:val="en-US"/>
        </w:rPr>
        <w:fldChar w:fldCharType="begin">
          <w:ffData>
            <w:name w:val="Rubrik"/>
            <w:enabled/>
            <w:calcOnExit w:val="0"/>
            <w:textInput>
              <w:default w:val="Preoperativ utredning och provtagning inför gynekologiska ingrepp"/>
            </w:textInput>
          </w:ffData>
        </w:fldChar>
      </w:r>
      <w:r w:rsidR="00BA3DB1" w:rsidRPr="00BA3DB1">
        <w:instrText xml:space="preserve"> FORMTEXT </w:instrText>
      </w:r>
      <w:r w:rsidR="005E3EB5">
        <w:rPr>
          <w:lang w:val="en-US"/>
        </w:rPr>
      </w:r>
      <w:r>
        <w:rPr>
          <w:lang w:val="en-US"/>
        </w:rPr>
        <w:fldChar w:fldCharType="separate"/>
      </w:r>
      <w:r w:rsidR="005E3EB5">
        <w:rPr>
          <w:lang w:val="en-US"/>
        </w:rPr>
        <w:t>Preoperativ utredning och provtagning inför gynekologiska ingrepp</w:t>
      </w:r>
      <w:r>
        <w:rPr>
          <w:lang w:val="en-US"/>
        </w:rPr>
        <w:fldChar w:fldCharType="end"/>
      </w:r>
      <w:bookmarkEnd w:id="0"/>
      <w:r w:rsidR="005253BF" w:rsidRPr="00BA3DB1">
        <w:t xml:space="preserve"> </w:t>
      </w:r>
    </w:p>
    <w:p w:rsidR="009D2946" w:rsidRPr="00046189" w:rsidRDefault="009D2946" w:rsidP="00730505"/>
    <w:p w:rsidR="002D3ECA" w:rsidRDefault="002D3ECA" w:rsidP="002D3ECA">
      <w:pPr>
        <w:rPr>
          <w:b/>
        </w:rPr>
      </w:pPr>
      <w:r w:rsidRPr="001242A3">
        <w:rPr>
          <w:b/>
        </w:rPr>
        <w:t>Utarbetad av</w:t>
      </w:r>
      <w:r>
        <w:rPr>
          <w:b/>
        </w:rPr>
        <w:t xml:space="preserve">: </w:t>
      </w:r>
      <w:sdt>
        <w:sdtPr>
          <w:id w:val="926774487"/>
          <w:placeholder>
            <w:docPart w:val="0D98F38BBC7748509D93CBCAF4202637"/>
          </w:placeholder>
          <w:text w:multiLine="1"/>
        </w:sdtPr>
        <w:sdtEndPr/>
        <w:sdtContent>
          <w:r w:rsidRPr="00153A70">
            <w:t>Kiriaki Papaikonomou, Patientflöde Gynekologi</w:t>
          </w:r>
        </w:sdtContent>
      </w:sdt>
    </w:p>
    <w:p w:rsidR="002D3ECA" w:rsidRDefault="002D3ECA" w:rsidP="002D3ECA">
      <w:r w:rsidRPr="00D8244D">
        <w:rPr>
          <w:b/>
        </w:rPr>
        <w:t>Granskad och godkänd av:</w:t>
      </w:r>
      <w:r>
        <w:t xml:space="preserve"> Gabriel Dumitrescu PMI, Kristine Kirillova PMI</w:t>
      </w:r>
    </w:p>
    <w:p w:rsidR="002D3ECA" w:rsidRPr="001242A3" w:rsidRDefault="002D3ECA" w:rsidP="002D3ECA"/>
    <w:p w:rsidR="002D3ECA" w:rsidRPr="00D8244D" w:rsidRDefault="002D3ECA" w:rsidP="002D3ECA">
      <w:pPr>
        <w:pStyle w:val="Default"/>
        <w:spacing w:line="276" w:lineRule="auto"/>
        <w:rPr>
          <w:b/>
        </w:rPr>
      </w:pPr>
      <w:r w:rsidRPr="00D8244D">
        <w:rPr>
          <w:b/>
        </w:rPr>
        <w:t>Målgrupp</w:t>
      </w:r>
    </w:p>
    <w:p w:rsidR="002D3ECA" w:rsidRPr="00814DF5" w:rsidRDefault="005E3EB5" w:rsidP="002D3ECA">
      <w:pPr>
        <w:pStyle w:val="Default"/>
      </w:pPr>
      <w:sdt>
        <w:sdtPr>
          <w:id w:val="-236332558"/>
          <w:placeholder>
            <w:docPart w:val="51C7D25D36C54D368E3300186BBC8B0D"/>
          </w:placeholder>
          <w:text w:multiLine="1"/>
        </w:sdtPr>
        <w:sdtEndPr/>
        <w:sdtContent>
          <w:r w:rsidR="002D3ECA" w:rsidRPr="00153A70">
            <w:t>Läkare och sjuksköterskor på PMI Huddinge och Patientflöde Gynekologi.</w:t>
          </w:r>
        </w:sdtContent>
      </w:sdt>
    </w:p>
    <w:sdt>
      <w:sdtPr>
        <w:rPr>
          <w:rFonts w:ascii="Times New Roman" w:eastAsia="Times New Roman" w:hAnsi="Times New Roman" w:cs="Times New Roman"/>
          <w:b w:val="0"/>
          <w:bCs w:val="0"/>
          <w:color w:val="auto"/>
          <w:sz w:val="24"/>
          <w:szCs w:val="24"/>
          <w:lang w:val="sv-SE" w:eastAsia="sv-SE"/>
        </w:rPr>
        <w:id w:val="2102132231"/>
        <w:docPartObj>
          <w:docPartGallery w:val="Table of Contents"/>
          <w:docPartUnique/>
        </w:docPartObj>
      </w:sdtPr>
      <w:sdtEndPr>
        <w:rPr>
          <w:noProof/>
        </w:rPr>
      </w:sdtEndPr>
      <w:sdtContent>
        <w:p w:rsidR="002D3ECA" w:rsidRPr="00871D13" w:rsidRDefault="002D3ECA" w:rsidP="002D3ECA">
          <w:pPr>
            <w:pStyle w:val="Innehllsfrteckningsrubrik"/>
            <w:rPr>
              <w:rFonts w:ascii="Times New Roman" w:hAnsi="Times New Roman" w:cs="Times New Roman"/>
              <w:noProof/>
            </w:rPr>
          </w:pPr>
          <w:r w:rsidRPr="00814DF5">
            <w:rPr>
              <w:rFonts w:ascii="Times New Roman" w:hAnsi="Times New Roman" w:cs="Times New Roman"/>
              <w:color w:val="000000" w:themeColor="text1"/>
              <w:sz w:val="24"/>
              <w:szCs w:val="24"/>
              <w:lang w:val="sv-SE"/>
            </w:rPr>
            <w:t>Innehållsförteckning</w:t>
          </w:r>
          <w:r w:rsidRPr="00871D13">
            <w:rPr>
              <w:rFonts w:ascii="Times New Roman" w:hAnsi="Times New Roman" w:cs="Times New Roman"/>
              <w:b w:val="0"/>
              <w:bCs w:val="0"/>
              <w:sz w:val="24"/>
              <w:szCs w:val="24"/>
            </w:rPr>
            <w:fldChar w:fldCharType="begin"/>
          </w:r>
          <w:r w:rsidRPr="00871D13">
            <w:rPr>
              <w:rFonts w:ascii="Times New Roman" w:hAnsi="Times New Roman" w:cs="Times New Roman"/>
              <w:sz w:val="24"/>
              <w:szCs w:val="24"/>
            </w:rPr>
            <w:instrText xml:space="preserve"> TOC \o "1-3" \h \z \u </w:instrText>
          </w:r>
          <w:r w:rsidRPr="00871D13">
            <w:rPr>
              <w:rFonts w:ascii="Times New Roman" w:hAnsi="Times New Roman" w:cs="Times New Roman"/>
              <w:b w:val="0"/>
              <w:bCs w:val="0"/>
              <w:sz w:val="24"/>
              <w:szCs w:val="24"/>
            </w:rPr>
            <w:fldChar w:fldCharType="separate"/>
          </w:r>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43" w:history="1">
            <w:r w:rsidR="002D3ECA" w:rsidRPr="00871D13">
              <w:rPr>
                <w:rStyle w:val="Hyperlnk"/>
                <w:rFonts w:ascii="Times New Roman" w:hAnsi="Times New Roman"/>
                <w:noProof/>
              </w:rPr>
              <w:t>Preoperativ utredning och provtagning inför gynekologiska ingrepp</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_Toc14031343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1</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44" w:history="1">
            <w:r w:rsidR="002D3ECA" w:rsidRPr="00871D13">
              <w:rPr>
                <w:rStyle w:val="Hyperlnk"/>
                <w:rFonts w:ascii="Times New Roman" w:hAnsi="Times New Roman"/>
                <w:noProof/>
              </w:rPr>
              <w:t>Bakgrund, syfte, mål</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_Toc14031344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1</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45" w:history="1">
            <w:r w:rsidR="002D3ECA" w:rsidRPr="00871D13">
              <w:rPr>
                <w:rStyle w:val="Hyperlnk"/>
                <w:rFonts w:ascii="Times New Roman" w:hAnsi="Times New Roman"/>
                <w:noProof/>
              </w:rPr>
              <w:t>Hälsodeklaration</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_Toc14031345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2</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46" w:history="1">
            <w:r w:rsidR="002D3ECA" w:rsidRPr="00871D13">
              <w:rPr>
                <w:rStyle w:val="Hyperlnk"/>
                <w:rFonts w:ascii="Times New Roman" w:eastAsia="Calibri" w:hAnsi="Times New Roman"/>
                <w:noProof/>
              </w:rPr>
              <w:t>Journaldokumentation</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_Toc14031346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2</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47" w:history="1">
            <w:r w:rsidR="002D3ECA" w:rsidRPr="00871D13">
              <w:rPr>
                <w:rStyle w:val="Hyperlnk"/>
                <w:rFonts w:ascii="Times New Roman" w:eastAsia="Calibri" w:hAnsi="Times New Roman"/>
                <w:noProof/>
              </w:rPr>
              <w:t>Riskbedömning av patient</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_Toc14031347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2</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48" w:history="1">
            <w:r w:rsidR="002D3ECA" w:rsidRPr="00871D13">
              <w:rPr>
                <w:rStyle w:val="Hyperlnk"/>
                <w:rFonts w:ascii="Times New Roman" w:eastAsia="Calibri" w:hAnsi="Times New Roman"/>
                <w:noProof/>
              </w:rPr>
              <w:t>Preoperativ utredning</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_Toc14031348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4</w:t>
            </w:r>
            <w:r w:rsidR="002D3ECA" w:rsidRPr="00871D13">
              <w:rPr>
                <w:rFonts w:ascii="Times New Roman" w:hAnsi="Times New Roman"/>
                <w:noProof/>
                <w:webHidden/>
              </w:rPr>
              <w:fldChar w:fldCharType="end"/>
            </w:r>
          </w:hyperlink>
        </w:p>
        <w:p w:rsidR="002D3ECA" w:rsidRPr="00871D13" w:rsidRDefault="005E3EB5" w:rsidP="002D3ECA">
          <w:pPr>
            <w:pStyle w:val="Innehll2"/>
            <w:tabs>
              <w:tab w:val="right" w:leader="dot" w:pos="9348"/>
            </w:tabs>
            <w:rPr>
              <w:rFonts w:ascii="Times New Roman" w:eastAsiaTheme="minorEastAsia" w:hAnsi="Times New Roman"/>
              <w:bCs w:val="0"/>
              <w:noProof/>
              <w:sz w:val="24"/>
              <w:szCs w:val="24"/>
              <w:lang w:val="en-GB" w:eastAsia="en-GB"/>
            </w:rPr>
          </w:pPr>
          <w:hyperlink w:anchor="_Toc14031349" w:history="1">
            <w:r w:rsidR="002D3ECA" w:rsidRPr="00871D13">
              <w:rPr>
                <w:rStyle w:val="Hyperlnk"/>
                <w:rFonts w:ascii="Times New Roman" w:eastAsia="Calibri" w:hAnsi="Times New Roman"/>
                <w:noProof/>
              </w:rPr>
              <w:t>Blodgruppering och BAS-test vid gynekologiska ingrepp</w:t>
            </w:r>
            <w:r w:rsidR="002D3ECA" w:rsidRPr="00871D13">
              <w:rPr>
                <w:rFonts w:ascii="Times New Roman" w:hAnsi="Times New Roman"/>
                <w:noProof/>
                <w:webHidden/>
              </w:rPr>
              <w:tab/>
            </w:r>
            <w:r w:rsidR="002D3ECA" w:rsidRPr="00871D13">
              <w:rPr>
                <w:rFonts w:ascii="Times New Roman" w:hAnsi="Times New Roman"/>
                <w:noProof/>
                <w:webHidden/>
                <w:sz w:val="24"/>
                <w:szCs w:val="24"/>
              </w:rPr>
              <w:fldChar w:fldCharType="begin"/>
            </w:r>
            <w:r w:rsidR="002D3ECA" w:rsidRPr="00871D13">
              <w:rPr>
                <w:rFonts w:ascii="Times New Roman" w:hAnsi="Times New Roman"/>
                <w:noProof/>
                <w:webHidden/>
                <w:sz w:val="24"/>
                <w:szCs w:val="24"/>
              </w:rPr>
              <w:instrText xml:space="preserve"> PAGEREF _Toc14031349 \h </w:instrText>
            </w:r>
            <w:r w:rsidR="002D3ECA" w:rsidRPr="00871D13">
              <w:rPr>
                <w:rFonts w:ascii="Times New Roman" w:hAnsi="Times New Roman"/>
                <w:noProof/>
                <w:webHidden/>
                <w:sz w:val="24"/>
                <w:szCs w:val="24"/>
              </w:rPr>
            </w:r>
            <w:r w:rsidR="002D3ECA" w:rsidRPr="00871D13">
              <w:rPr>
                <w:rFonts w:ascii="Times New Roman" w:hAnsi="Times New Roman"/>
                <w:noProof/>
                <w:webHidden/>
                <w:sz w:val="24"/>
                <w:szCs w:val="24"/>
              </w:rPr>
              <w:fldChar w:fldCharType="separate"/>
            </w:r>
            <w:r w:rsidR="002D3ECA" w:rsidRPr="00871D13">
              <w:rPr>
                <w:rFonts w:ascii="Times New Roman" w:hAnsi="Times New Roman"/>
                <w:noProof/>
                <w:webHidden/>
                <w:sz w:val="24"/>
                <w:szCs w:val="24"/>
              </w:rPr>
              <w:t>4</w:t>
            </w:r>
            <w:r w:rsidR="002D3ECA" w:rsidRPr="00871D13">
              <w:rPr>
                <w:rFonts w:ascii="Times New Roman" w:hAnsi="Times New Roman"/>
                <w:noProof/>
                <w:webHidden/>
                <w:sz w:val="24"/>
                <w:szCs w:val="24"/>
              </w:rPr>
              <w:fldChar w:fldCharType="end"/>
            </w:r>
          </w:hyperlink>
        </w:p>
        <w:p w:rsidR="002D3ECA" w:rsidRPr="00871D13" w:rsidRDefault="005E3EB5" w:rsidP="002D3ECA">
          <w:pPr>
            <w:pStyle w:val="Innehll2"/>
            <w:tabs>
              <w:tab w:val="right" w:leader="dot" w:pos="9348"/>
            </w:tabs>
            <w:rPr>
              <w:rFonts w:ascii="Times New Roman" w:eastAsiaTheme="minorEastAsia" w:hAnsi="Times New Roman"/>
              <w:bCs w:val="0"/>
              <w:noProof/>
              <w:sz w:val="24"/>
              <w:szCs w:val="24"/>
              <w:lang w:val="en-GB" w:eastAsia="en-GB"/>
            </w:rPr>
          </w:pPr>
          <w:hyperlink w:anchor="_Toc14031350" w:history="1">
            <w:r w:rsidR="002D3ECA" w:rsidRPr="00871D13">
              <w:rPr>
                <w:rStyle w:val="Hyperlnk"/>
                <w:rFonts w:ascii="Times New Roman" w:eastAsia="Calibri" w:hAnsi="Times New Roman"/>
                <w:noProof/>
              </w:rPr>
              <w:t>Laboratorieanalyser inför operation</w:t>
            </w:r>
            <w:r w:rsidR="002D3ECA" w:rsidRPr="00871D13">
              <w:rPr>
                <w:rFonts w:ascii="Times New Roman" w:hAnsi="Times New Roman"/>
                <w:noProof/>
                <w:webHidden/>
              </w:rPr>
              <w:tab/>
            </w:r>
            <w:r w:rsidR="002D3ECA" w:rsidRPr="00871D13">
              <w:rPr>
                <w:rFonts w:ascii="Times New Roman" w:hAnsi="Times New Roman"/>
                <w:noProof/>
                <w:webHidden/>
                <w:sz w:val="24"/>
                <w:szCs w:val="24"/>
              </w:rPr>
              <w:fldChar w:fldCharType="begin"/>
            </w:r>
            <w:r w:rsidR="002D3ECA" w:rsidRPr="00871D13">
              <w:rPr>
                <w:rFonts w:ascii="Times New Roman" w:hAnsi="Times New Roman"/>
                <w:noProof/>
                <w:webHidden/>
                <w:sz w:val="24"/>
                <w:szCs w:val="24"/>
              </w:rPr>
              <w:instrText xml:space="preserve"> PAGEREF _Toc14031350 \h </w:instrText>
            </w:r>
            <w:r w:rsidR="002D3ECA" w:rsidRPr="00871D13">
              <w:rPr>
                <w:rFonts w:ascii="Times New Roman" w:hAnsi="Times New Roman"/>
                <w:noProof/>
                <w:webHidden/>
                <w:sz w:val="24"/>
                <w:szCs w:val="24"/>
              </w:rPr>
            </w:r>
            <w:r w:rsidR="002D3ECA" w:rsidRPr="00871D13">
              <w:rPr>
                <w:rFonts w:ascii="Times New Roman" w:hAnsi="Times New Roman"/>
                <w:noProof/>
                <w:webHidden/>
                <w:sz w:val="24"/>
                <w:szCs w:val="24"/>
              </w:rPr>
              <w:fldChar w:fldCharType="separate"/>
            </w:r>
            <w:r w:rsidR="002D3ECA" w:rsidRPr="00871D13">
              <w:rPr>
                <w:rFonts w:ascii="Times New Roman" w:hAnsi="Times New Roman"/>
                <w:noProof/>
                <w:webHidden/>
                <w:sz w:val="24"/>
                <w:szCs w:val="24"/>
              </w:rPr>
              <w:t>5</w:t>
            </w:r>
            <w:r w:rsidR="002D3ECA" w:rsidRPr="00871D13">
              <w:rPr>
                <w:rFonts w:ascii="Times New Roman" w:hAnsi="Times New Roman"/>
                <w:noProof/>
                <w:webHidden/>
                <w:sz w:val="24"/>
                <w:szCs w:val="24"/>
              </w:rPr>
              <w:fldChar w:fldCharType="end"/>
            </w:r>
          </w:hyperlink>
        </w:p>
        <w:p w:rsidR="002D3ECA" w:rsidRPr="00871D13" w:rsidRDefault="005E3EB5" w:rsidP="002D3ECA">
          <w:pPr>
            <w:pStyle w:val="Innehll2"/>
            <w:tabs>
              <w:tab w:val="right" w:leader="dot" w:pos="9348"/>
            </w:tabs>
            <w:rPr>
              <w:rFonts w:ascii="Times New Roman" w:eastAsiaTheme="minorEastAsia" w:hAnsi="Times New Roman"/>
              <w:bCs w:val="0"/>
              <w:noProof/>
              <w:sz w:val="24"/>
              <w:szCs w:val="24"/>
              <w:lang w:val="en-GB" w:eastAsia="en-GB"/>
            </w:rPr>
          </w:pPr>
          <w:hyperlink w:anchor="_Toc14031351" w:history="1">
            <w:r w:rsidR="002D3ECA" w:rsidRPr="00871D13">
              <w:rPr>
                <w:rStyle w:val="Hyperlnk"/>
                <w:rFonts w:ascii="Times New Roman" w:eastAsia="Calibri" w:hAnsi="Times New Roman"/>
                <w:noProof/>
              </w:rPr>
              <w:t>Blodtryck</w:t>
            </w:r>
            <w:r w:rsidR="002D3ECA" w:rsidRPr="00871D13">
              <w:rPr>
                <w:rFonts w:ascii="Times New Roman" w:hAnsi="Times New Roman"/>
                <w:noProof/>
                <w:webHidden/>
              </w:rPr>
              <w:tab/>
            </w:r>
            <w:r w:rsidR="002D3ECA" w:rsidRPr="00871D13">
              <w:rPr>
                <w:rFonts w:ascii="Times New Roman" w:hAnsi="Times New Roman"/>
                <w:noProof/>
                <w:webHidden/>
                <w:sz w:val="24"/>
                <w:szCs w:val="24"/>
              </w:rPr>
              <w:fldChar w:fldCharType="begin"/>
            </w:r>
            <w:r w:rsidR="002D3ECA" w:rsidRPr="00871D13">
              <w:rPr>
                <w:rFonts w:ascii="Times New Roman" w:hAnsi="Times New Roman"/>
                <w:noProof/>
                <w:webHidden/>
                <w:sz w:val="24"/>
                <w:szCs w:val="24"/>
              </w:rPr>
              <w:instrText xml:space="preserve"> PAGEREF _Toc14031351 \h </w:instrText>
            </w:r>
            <w:r w:rsidR="002D3ECA" w:rsidRPr="00871D13">
              <w:rPr>
                <w:rFonts w:ascii="Times New Roman" w:hAnsi="Times New Roman"/>
                <w:noProof/>
                <w:webHidden/>
                <w:sz w:val="24"/>
                <w:szCs w:val="24"/>
              </w:rPr>
            </w:r>
            <w:r w:rsidR="002D3ECA" w:rsidRPr="00871D13">
              <w:rPr>
                <w:rFonts w:ascii="Times New Roman" w:hAnsi="Times New Roman"/>
                <w:noProof/>
                <w:webHidden/>
                <w:sz w:val="24"/>
                <w:szCs w:val="24"/>
              </w:rPr>
              <w:fldChar w:fldCharType="separate"/>
            </w:r>
            <w:r w:rsidR="002D3ECA" w:rsidRPr="00871D13">
              <w:rPr>
                <w:rFonts w:ascii="Times New Roman" w:hAnsi="Times New Roman"/>
                <w:noProof/>
                <w:webHidden/>
                <w:sz w:val="24"/>
                <w:szCs w:val="24"/>
              </w:rPr>
              <w:t>5</w:t>
            </w:r>
            <w:r w:rsidR="002D3ECA" w:rsidRPr="00871D13">
              <w:rPr>
                <w:rFonts w:ascii="Times New Roman" w:hAnsi="Times New Roman"/>
                <w:noProof/>
                <w:webHidden/>
                <w:sz w:val="24"/>
                <w:szCs w:val="24"/>
              </w:rPr>
              <w:fldChar w:fldCharType="end"/>
            </w:r>
          </w:hyperlink>
        </w:p>
        <w:p w:rsidR="002D3ECA" w:rsidRPr="00871D13" w:rsidRDefault="005E3EB5" w:rsidP="002D3ECA">
          <w:pPr>
            <w:pStyle w:val="Innehll2"/>
            <w:tabs>
              <w:tab w:val="right" w:leader="dot" w:pos="9348"/>
            </w:tabs>
            <w:rPr>
              <w:rFonts w:ascii="Times New Roman" w:eastAsiaTheme="minorEastAsia" w:hAnsi="Times New Roman"/>
              <w:bCs w:val="0"/>
              <w:noProof/>
              <w:sz w:val="24"/>
              <w:szCs w:val="24"/>
              <w:lang w:val="en-GB" w:eastAsia="en-GB"/>
            </w:rPr>
          </w:pPr>
          <w:hyperlink w:anchor="_Toc14031352" w:history="1">
            <w:r w:rsidR="002D3ECA" w:rsidRPr="00871D13">
              <w:rPr>
                <w:rStyle w:val="Hyperlnk"/>
                <w:rFonts w:ascii="Times New Roman" w:eastAsia="Calibri" w:hAnsi="Times New Roman"/>
                <w:noProof/>
              </w:rPr>
              <w:t>Preoperativt EKG</w:t>
            </w:r>
            <w:r w:rsidR="002D3ECA" w:rsidRPr="00871D13">
              <w:rPr>
                <w:rFonts w:ascii="Times New Roman" w:hAnsi="Times New Roman"/>
                <w:noProof/>
                <w:webHidden/>
              </w:rPr>
              <w:tab/>
            </w:r>
            <w:r w:rsidR="002D3ECA" w:rsidRPr="00871D13">
              <w:rPr>
                <w:rFonts w:ascii="Times New Roman" w:hAnsi="Times New Roman"/>
                <w:noProof/>
                <w:webHidden/>
                <w:sz w:val="24"/>
                <w:szCs w:val="24"/>
              </w:rPr>
              <w:fldChar w:fldCharType="begin"/>
            </w:r>
            <w:r w:rsidR="002D3ECA" w:rsidRPr="00871D13">
              <w:rPr>
                <w:rFonts w:ascii="Times New Roman" w:hAnsi="Times New Roman"/>
                <w:noProof/>
                <w:webHidden/>
                <w:sz w:val="24"/>
                <w:szCs w:val="24"/>
              </w:rPr>
              <w:instrText xml:space="preserve"> PAGEREF _Toc14031352 \h </w:instrText>
            </w:r>
            <w:r w:rsidR="002D3ECA" w:rsidRPr="00871D13">
              <w:rPr>
                <w:rFonts w:ascii="Times New Roman" w:hAnsi="Times New Roman"/>
                <w:noProof/>
                <w:webHidden/>
                <w:sz w:val="24"/>
                <w:szCs w:val="24"/>
              </w:rPr>
            </w:r>
            <w:r w:rsidR="002D3ECA" w:rsidRPr="00871D13">
              <w:rPr>
                <w:rFonts w:ascii="Times New Roman" w:hAnsi="Times New Roman"/>
                <w:noProof/>
                <w:webHidden/>
                <w:sz w:val="24"/>
                <w:szCs w:val="24"/>
              </w:rPr>
              <w:fldChar w:fldCharType="separate"/>
            </w:r>
            <w:r w:rsidR="002D3ECA" w:rsidRPr="00871D13">
              <w:rPr>
                <w:rFonts w:ascii="Times New Roman" w:hAnsi="Times New Roman"/>
                <w:noProof/>
                <w:webHidden/>
                <w:sz w:val="24"/>
                <w:szCs w:val="24"/>
              </w:rPr>
              <w:t>5</w:t>
            </w:r>
            <w:r w:rsidR="002D3ECA" w:rsidRPr="00871D13">
              <w:rPr>
                <w:rFonts w:ascii="Times New Roman" w:hAnsi="Times New Roman"/>
                <w:noProof/>
                <w:webHidden/>
                <w:sz w:val="24"/>
                <w:szCs w:val="24"/>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53" w:history="1">
            <w:r w:rsidR="002D3ECA" w:rsidRPr="00871D13">
              <w:rPr>
                <w:rStyle w:val="Hyperlnk"/>
                <w:rFonts w:ascii="Times New Roman" w:eastAsia="Calibri" w:hAnsi="Times New Roman"/>
                <w:noProof/>
              </w:rPr>
              <w:t>Antibiotikaprofylax</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_Toc14031353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6</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54" w:history="1">
            <w:r w:rsidR="002D3ECA" w:rsidRPr="00871D13">
              <w:rPr>
                <w:rStyle w:val="Hyperlnk"/>
                <w:rFonts w:ascii="Times New Roman" w:eastAsia="Calibri" w:hAnsi="Times New Roman"/>
                <w:noProof/>
              </w:rPr>
              <w:t>Trombosprofylax och tillfällig utsättning av antikoagulantia och trombocythämning inför operation</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_Toc14031354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6</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55" w:history="1">
            <w:r w:rsidR="002D3ECA" w:rsidRPr="00871D13">
              <w:rPr>
                <w:rStyle w:val="Hyperlnk"/>
                <w:rFonts w:ascii="Times New Roman" w:eastAsia="Calibri" w:hAnsi="Times New Roman"/>
                <w:noProof/>
              </w:rPr>
              <w:t>Rökinformation/rökstopp inför operation</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_Toc14031355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6</w:t>
            </w:r>
            <w:r w:rsidR="002D3ECA" w:rsidRPr="00871D13">
              <w:rPr>
                <w:rFonts w:ascii="Times New Roman" w:hAnsi="Times New Roman"/>
                <w:noProof/>
                <w:webHidden/>
              </w:rPr>
              <w:fldChar w:fldCharType="end"/>
            </w:r>
          </w:hyperlink>
        </w:p>
        <w:p w:rsidR="002D3ECA" w:rsidRPr="00871D13" w:rsidRDefault="005E3EB5" w:rsidP="002D3ECA">
          <w:pPr>
            <w:pStyle w:val="Innehll1"/>
            <w:tabs>
              <w:tab w:val="right" w:leader="dot" w:pos="9348"/>
            </w:tabs>
            <w:rPr>
              <w:rFonts w:ascii="Times New Roman" w:eastAsiaTheme="minorEastAsia" w:hAnsi="Times New Roman"/>
              <w:b w:val="0"/>
              <w:bCs w:val="0"/>
              <w:noProof/>
              <w:lang w:val="en-GB" w:eastAsia="en-GB"/>
            </w:rPr>
          </w:pPr>
          <w:hyperlink w:anchor="_Toc14031356" w:history="1">
            <w:r w:rsidR="002D3ECA" w:rsidRPr="00871D13">
              <w:rPr>
                <w:rStyle w:val="Hyperlnk"/>
                <w:rFonts w:ascii="Times New Roman" w:hAnsi="Times New Roman"/>
                <w:noProof/>
              </w:rPr>
              <w:t>Referenser</w:t>
            </w:r>
            <w:r w:rsidR="002D3ECA" w:rsidRPr="00871D13">
              <w:rPr>
                <w:rFonts w:ascii="Times New Roman" w:hAnsi="Times New Roman"/>
                <w:noProof/>
                <w:webHidden/>
              </w:rPr>
              <w:tab/>
            </w:r>
            <w:r w:rsidR="002D3ECA" w:rsidRPr="00871D13">
              <w:rPr>
                <w:rFonts w:ascii="Times New Roman" w:hAnsi="Times New Roman"/>
                <w:noProof/>
                <w:webHidden/>
              </w:rPr>
              <w:fldChar w:fldCharType="begin"/>
            </w:r>
            <w:r w:rsidR="002D3ECA" w:rsidRPr="00871D13">
              <w:rPr>
                <w:rFonts w:ascii="Times New Roman" w:hAnsi="Times New Roman"/>
                <w:noProof/>
                <w:webHidden/>
              </w:rPr>
              <w:instrText xml:space="preserve"> PAGEREF _Toc14031356 \h </w:instrText>
            </w:r>
            <w:r w:rsidR="002D3ECA" w:rsidRPr="00871D13">
              <w:rPr>
                <w:rFonts w:ascii="Times New Roman" w:hAnsi="Times New Roman"/>
                <w:noProof/>
                <w:webHidden/>
              </w:rPr>
            </w:r>
            <w:r w:rsidR="002D3ECA" w:rsidRPr="00871D13">
              <w:rPr>
                <w:rFonts w:ascii="Times New Roman" w:hAnsi="Times New Roman"/>
                <w:noProof/>
                <w:webHidden/>
              </w:rPr>
              <w:fldChar w:fldCharType="separate"/>
            </w:r>
            <w:r w:rsidR="002D3ECA" w:rsidRPr="00871D13">
              <w:rPr>
                <w:rFonts w:ascii="Times New Roman" w:hAnsi="Times New Roman"/>
                <w:noProof/>
                <w:webHidden/>
              </w:rPr>
              <w:t>6</w:t>
            </w:r>
            <w:r w:rsidR="002D3ECA" w:rsidRPr="00871D13">
              <w:rPr>
                <w:rFonts w:ascii="Times New Roman" w:hAnsi="Times New Roman"/>
                <w:noProof/>
                <w:webHidden/>
              </w:rPr>
              <w:fldChar w:fldCharType="end"/>
            </w:r>
          </w:hyperlink>
        </w:p>
        <w:p w:rsidR="002D3ECA" w:rsidRPr="00871D13" w:rsidRDefault="002D3ECA" w:rsidP="002D3ECA">
          <w:r w:rsidRPr="00871D13">
            <w:rPr>
              <w:b/>
              <w:bCs/>
              <w:noProof/>
            </w:rPr>
            <w:fldChar w:fldCharType="end"/>
          </w:r>
        </w:p>
      </w:sdtContent>
    </w:sdt>
    <w:p w:rsidR="002D3ECA" w:rsidRPr="00871D13" w:rsidRDefault="002D3ECA" w:rsidP="002D3ECA">
      <w:pPr>
        <w:pStyle w:val="Default"/>
        <w:spacing w:line="276" w:lineRule="auto"/>
        <w:rPr>
          <w:b/>
        </w:rPr>
      </w:pPr>
    </w:p>
    <w:p w:rsidR="002D3ECA" w:rsidRPr="00814DF5" w:rsidRDefault="002D3ECA" w:rsidP="002D3ECA">
      <w:pPr>
        <w:pStyle w:val="Rubrik1"/>
        <w:rPr>
          <w:sz w:val="24"/>
          <w:szCs w:val="24"/>
        </w:rPr>
      </w:pPr>
      <w:bookmarkStart w:id="1" w:name="_Toc14031344"/>
      <w:r w:rsidRPr="00814DF5">
        <w:rPr>
          <w:sz w:val="24"/>
          <w:szCs w:val="24"/>
        </w:rPr>
        <w:t>Bakgrund, syfte, mål</w:t>
      </w:r>
      <w:bookmarkEnd w:id="1"/>
    </w:p>
    <w:sdt>
      <w:sdtPr>
        <w:rPr>
          <w:rFonts w:eastAsiaTheme="minorHAnsi"/>
          <w:bCs/>
        </w:rPr>
        <w:id w:val="522289580"/>
        <w:text w:multiLine="1"/>
      </w:sdtPr>
      <w:sdtEndPr/>
      <w:sdtContent>
        <w:p w:rsidR="002D3ECA" w:rsidRPr="001242A3" w:rsidRDefault="002D3ECA" w:rsidP="002D3ECA">
          <w:pPr>
            <w:pStyle w:val="Default"/>
            <w:spacing w:line="276" w:lineRule="auto"/>
          </w:pPr>
          <w:r w:rsidRPr="00153A70">
            <w:rPr>
              <w:rFonts w:eastAsiaTheme="minorHAnsi"/>
              <w:bCs/>
            </w:rPr>
            <w:t xml:space="preserve">Syftet med den preoperativa utredningen är att bedöma om patienten är i optimalt skick inför ett operativt ingrepp, detta för att kunna skapa bästa möjliga förutsättningar inför anestesi, operation och återhämtning. </w:t>
          </w:r>
          <w:r w:rsidRPr="00153A70">
            <w:rPr>
              <w:rFonts w:eastAsiaTheme="minorHAnsi"/>
              <w:bCs/>
            </w:rPr>
            <w:br/>
          </w:r>
          <w:r w:rsidRPr="00153A70">
            <w:rPr>
              <w:rFonts w:eastAsiaTheme="minorHAnsi"/>
              <w:bCs/>
            </w:rPr>
            <w:br/>
            <w:t xml:space="preserve">Inför operation är det viktigt att patienten blir kliniskt bedömd, vilket i första hand beslutande kirurg är ansvarig för. Beslutet baseras på anamnes, aktuell status och eventuell komplettering av befintliga journalhandlingar, samt förväntat utfall av det planerade ingreppet. </w:t>
          </w:r>
          <w:r w:rsidRPr="00153A70">
            <w:rPr>
              <w:rFonts w:eastAsiaTheme="minorHAnsi"/>
              <w:bCs/>
            </w:rPr>
            <w:br/>
          </w:r>
          <w:r w:rsidRPr="00153A70">
            <w:rPr>
              <w:rFonts w:eastAsiaTheme="minorHAnsi"/>
              <w:bCs/>
            </w:rPr>
            <w:br/>
            <w:t xml:space="preserve">Anestesiologens uppgift, när beslut om operation fattas, är att göra en bedömning av patientens förutsättningar att klara av anestesi, operationstraumat och postoperativ vård. Den beslutar även om eventuella kompletterande utredningar och provtagningar är nödvändiga innan patienten </w:t>
          </w:r>
          <w:r w:rsidRPr="00153A70">
            <w:rPr>
              <w:rFonts w:eastAsiaTheme="minorHAnsi"/>
              <w:bCs/>
            </w:rPr>
            <w:lastRenderedPageBreak/>
            <w:t xml:space="preserve">accepteras för anestesi. Dessutom beslutas anestesimetod och premedicinering. </w:t>
          </w:r>
          <w:r w:rsidRPr="00153A70">
            <w:rPr>
              <w:rFonts w:eastAsiaTheme="minorHAnsi"/>
              <w:bCs/>
            </w:rPr>
            <w:br/>
          </w:r>
          <w:r w:rsidRPr="00153A70">
            <w:rPr>
              <w:rFonts w:eastAsiaTheme="minorHAnsi"/>
              <w:bCs/>
            </w:rPr>
            <w:br/>
            <w:t xml:space="preserve">Anamnes, fysikalisk undersökning och hälsodeklaration gäller 3 mån, förutsatt att patientens tillstånd är oförändrad. </w:t>
          </w:r>
          <w:r w:rsidRPr="00153A70">
            <w:rPr>
              <w:rFonts w:eastAsiaTheme="minorHAnsi"/>
              <w:bCs/>
            </w:rPr>
            <w:br/>
          </w:r>
        </w:p>
      </w:sdtContent>
    </w:sdt>
    <w:p w:rsidR="002D3ECA" w:rsidRPr="008D1BDF" w:rsidRDefault="002D3ECA" w:rsidP="002D3ECA">
      <w:pPr>
        <w:pStyle w:val="Rubrik1"/>
        <w:rPr>
          <w:sz w:val="24"/>
          <w:szCs w:val="24"/>
        </w:rPr>
      </w:pPr>
      <w:bookmarkStart w:id="2" w:name="_Toc14031345"/>
      <w:r w:rsidRPr="008D1BDF">
        <w:rPr>
          <w:sz w:val="24"/>
          <w:szCs w:val="24"/>
        </w:rPr>
        <w:t>Hälsodeklaration</w:t>
      </w:r>
      <w:bookmarkEnd w:id="2"/>
    </w:p>
    <w:p w:rsidR="002D3ECA" w:rsidRDefault="002D3ECA" w:rsidP="002D3ECA">
      <w:pPr>
        <w:pStyle w:val="Default"/>
        <w:spacing w:line="276" w:lineRule="auto"/>
        <w:rPr>
          <w:bCs/>
        </w:rPr>
      </w:pPr>
      <w:r w:rsidRPr="00D8244D">
        <w:rPr>
          <w:bCs/>
        </w:rPr>
        <w:t xml:space="preserve">Lämnas av alla patienter, både i öppen- och slutenvård. </w:t>
      </w:r>
    </w:p>
    <w:p w:rsidR="002D3ECA" w:rsidRDefault="002D3ECA" w:rsidP="002D3ECA">
      <w:pPr>
        <w:pStyle w:val="Default"/>
        <w:spacing w:line="276" w:lineRule="auto"/>
        <w:rPr>
          <w:bCs/>
        </w:rPr>
      </w:pPr>
    </w:p>
    <w:p w:rsidR="002D3ECA" w:rsidRPr="008D1BDF" w:rsidRDefault="002D3ECA" w:rsidP="002D3ECA">
      <w:pPr>
        <w:pStyle w:val="Rubrik1"/>
        <w:rPr>
          <w:rFonts w:eastAsia="Calibri"/>
          <w:sz w:val="24"/>
          <w:szCs w:val="24"/>
        </w:rPr>
      </w:pPr>
      <w:bookmarkStart w:id="3" w:name="_Toc14031346"/>
      <w:r w:rsidRPr="008D1BDF">
        <w:rPr>
          <w:rFonts w:eastAsia="Calibri"/>
          <w:sz w:val="24"/>
          <w:szCs w:val="24"/>
        </w:rPr>
        <w:t>Journaldokumentation</w:t>
      </w:r>
      <w:bookmarkEnd w:id="3"/>
    </w:p>
    <w:p w:rsidR="002D3ECA" w:rsidRPr="00D8244D" w:rsidRDefault="002D3ECA" w:rsidP="002D3ECA">
      <w:pPr>
        <w:pStyle w:val="Default"/>
        <w:spacing w:line="276" w:lineRule="auto"/>
        <w:rPr>
          <w:bCs/>
        </w:rPr>
      </w:pPr>
      <w:r w:rsidRPr="00D8244D">
        <w:rPr>
          <w:bCs/>
        </w:rPr>
        <w:t xml:space="preserve">Inför operation och narkosbedömning ska det i TC finnas skriven journalanteckning innehållande minst följande uppgifter: </w:t>
      </w:r>
    </w:p>
    <w:p w:rsidR="002D3ECA" w:rsidRPr="00D8244D" w:rsidRDefault="002D3ECA" w:rsidP="002D3ECA">
      <w:pPr>
        <w:pStyle w:val="Default"/>
        <w:numPr>
          <w:ilvl w:val="0"/>
          <w:numId w:val="1"/>
        </w:numPr>
        <w:spacing w:line="276" w:lineRule="auto"/>
        <w:rPr>
          <w:bCs/>
        </w:rPr>
      </w:pPr>
      <w:r w:rsidRPr="00D8244D">
        <w:rPr>
          <w:bCs/>
        </w:rPr>
        <w:t>Diagnos</w:t>
      </w:r>
    </w:p>
    <w:p w:rsidR="002D3ECA" w:rsidRDefault="002D3ECA" w:rsidP="002D3ECA">
      <w:pPr>
        <w:pStyle w:val="Default"/>
        <w:numPr>
          <w:ilvl w:val="0"/>
          <w:numId w:val="1"/>
        </w:numPr>
        <w:spacing w:line="276" w:lineRule="auto"/>
        <w:rPr>
          <w:bCs/>
        </w:rPr>
      </w:pPr>
      <w:r w:rsidRPr="00D8244D">
        <w:rPr>
          <w:bCs/>
        </w:rPr>
        <w:t>Anamnes:</w:t>
      </w:r>
    </w:p>
    <w:p w:rsidR="002D3ECA" w:rsidRPr="00560925" w:rsidRDefault="002D3ECA" w:rsidP="002D3ECA">
      <w:pPr>
        <w:pStyle w:val="Default"/>
        <w:spacing w:line="276" w:lineRule="auto"/>
        <w:ind w:firstLine="360"/>
        <w:rPr>
          <w:bCs/>
        </w:rPr>
      </w:pPr>
      <w:r w:rsidRPr="00560925">
        <w:rPr>
          <w:bCs/>
        </w:rPr>
        <w:t xml:space="preserve">-  tidigare och nuvarande sjukdomar </w:t>
      </w:r>
    </w:p>
    <w:p w:rsidR="002D3ECA" w:rsidRPr="00D8244D" w:rsidRDefault="002D3ECA" w:rsidP="002D3ECA">
      <w:pPr>
        <w:pStyle w:val="Default"/>
        <w:spacing w:line="276" w:lineRule="auto"/>
        <w:ind w:firstLine="360"/>
        <w:rPr>
          <w:bCs/>
        </w:rPr>
      </w:pPr>
      <w:r w:rsidRPr="00D8244D">
        <w:rPr>
          <w:bCs/>
        </w:rPr>
        <w:t xml:space="preserve">-  överkänslighet </w:t>
      </w:r>
    </w:p>
    <w:p w:rsidR="002D3ECA" w:rsidRPr="00D8244D" w:rsidRDefault="002D3ECA" w:rsidP="002D3ECA">
      <w:pPr>
        <w:pStyle w:val="Default"/>
        <w:spacing w:line="276" w:lineRule="auto"/>
        <w:ind w:firstLine="360"/>
        <w:rPr>
          <w:bCs/>
        </w:rPr>
      </w:pPr>
      <w:r w:rsidRPr="00D8244D">
        <w:rPr>
          <w:bCs/>
        </w:rPr>
        <w:t>-  aktuell medicinering (hänvisa till uppdaterad läkemedelslista)</w:t>
      </w:r>
    </w:p>
    <w:p w:rsidR="002D3ECA" w:rsidRPr="00D8244D" w:rsidRDefault="002D3ECA" w:rsidP="002D3ECA">
      <w:pPr>
        <w:pStyle w:val="Default"/>
        <w:numPr>
          <w:ilvl w:val="0"/>
          <w:numId w:val="1"/>
        </w:numPr>
        <w:spacing w:line="276" w:lineRule="auto"/>
        <w:rPr>
          <w:bCs/>
        </w:rPr>
      </w:pPr>
      <w:r w:rsidRPr="00D8244D">
        <w:rPr>
          <w:bCs/>
        </w:rPr>
        <w:t>Vilken operation som planeras</w:t>
      </w:r>
    </w:p>
    <w:p w:rsidR="002D3ECA" w:rsidRPr="00D8244D" w:rsidRDefault="002D3ECA" w:rsidP="002D3ECA">
      <w:pPr>
        <w:pStyle w:val="Default"/>
        <w:numPr>
          <w:ilvl w:val="0"/>
          <w:numId w:val="1"/>
        </w:numPr>
        <w:spacing w:line="276" w:lineRule="auto"/>
        <w:rPr>
          <w:bCs/>
        </w:rPr>
      </w:pPr>
      <w:r w:rsidRPr="00D8244D">
        <w:rPr>
          <w:bCs/>
        </w:rPr>
        <w:t xml:space="preserve">Aktuell medicinering ska uppdateras och signeras i TC läkemedelsmodul </w:t>
      </w:r>
    </w:p>
    <w:p w:rsidR="002D3ECA" w:rsidRPr="00D8244D" w:rsidRDefault="002D3ECA" w:rsidP="002D3ECA">
      <w:pPr>
        <w:pStyle w:val="Default"/>
        <w:numPr>
          <w:ilvl w:val="0"/>
          <w:numId w:val="1"/>
        </w:numPr>
        <w:spacing w:line="276" w:lineRule="auto"/>
        <w:rPr>
          <w:bCs/>
        </w:rPr>
      </w:pPr>
      <w:r w:rsidRPr="00D8244D">
        <w:rPr>
          <w:bCs/>
        </w:rPr>
        <w:t xml:space="preserve">Plan för justering av läkemedel som påverkar koagulationen </w:t>
      </w:r>
    </w:p>
    <w:p w:rsidR="002D3ECA" w:rsidRDefault="002D3ECA" w:rsidP="002D3ECA">
      <w:pPr>
        <w:pStyle w:val="Default"/>
        <w:numPr>
          <w:ilvl w:val="0"/>
          <w:numId w:val="1"/>
        </w:numPr>
        <w:spacing w:line="276" w:lineRule="auto"/>
        <w:rPr>
          <w:bCs/>
        </w:rPr>
      </w:pPr>
      <w:r w:rsidRPr="00D8244D">
        <w:rPr>
          <w:bCs/>
        </w:rPr>
        <w:t>Status:</w:t>
      </w:r>
    </w:p>
    <w:p w:rsidR="002D3ECA" w:rsidRPr="00560925" w:rsidRDefault="002D3ECA" w:rsidP="002D3ECA">
      <w:pPr>
        <w:pStyle w:val="Default"/>
        <w:spacing w:line="276" w:lineRule="auto"/>
        <w:ind w:left="360" w:firstLine="66"/>
        <w:rPr>
          <w:bCs/>
        </w:rPr>
      </w:pPr>
      <w:r w:rsidRPr="00560925">
        <w:rPr>
          <w:bCs/>
        </w:rPr>
        <w:t xml:space="preserve">- noggrann gynekologisk undersökning inkl vag ul </w:t>
      </w:r>
    </w:p>
    <w:p w:rsidR="002D3ECA" w:rsidRPr="00D8244D" w:rsidRDefault="002D3ECA" w:rsidP="002D3ECA">
      <w:pPr>
        <w:pStyle w:val="Default"/>
        <w:spacing w:line="276" w:lineRule="auto"/>
        <w:ind w:firstLine="360"/>
        <w:rPr>
          <w:bCs/>
        </w:rPr>
      </w:pPr>
      <w:r>
        <w:rPr>
          <w:bCs/>
        </w:rPr>
        <w:t xml:space="preserve"> </w:t>
      </w:r>
      <w:r w:rsidRPr="00D8244D">
        <w:rPr>
          <w:bCs/>
        </w:rPr>
        <w:t>- blodtryck (dokumenteras av usk/ssk)</w:t>
      </w:r>
    </w:p>
    <w:p w:rsidR="002D3ECA" w:rsidRPr="00D8244D" w:rsidRDefault="002D3ECA" w:rsidP="002D3ECA">
      <w:pPr>
        <w:pStyle w:val="Default"/>
        <w:spacing w:line="276" w:lineRule="auto"/>
        <w:ind w:left="284"/>
        <w:rPr>
          <w:bCs/>
        </w:rPr>
      </w:pPr>
      <w:r>
        <w:rPr>
          <w:bCs/>
        </w:rPr>
        <w:t xml:space="preserve">  </w:t>
      </w:r>
      <w:r w:rsidRPr="00D8244D">
        <w:rPr>
          <w:bCs/>
        </w:rPr>
        <w:t>- BMI (dokumenteras av usk/ssk)</w:t>
      </w:r>
    </w:p>
    <w:p w:rsidR="002D3ECA" w:rsidRPr="00D8244D" w:rsidRDefault="002D3ECA" w:rsidP="002D3ECA">
      <w:pPr>
        <w:pStyle w:val="Default"/>
        <w:spacing w:line="276" w:lineRule="auto"/>
        <w:rPr>
          <w:bCs/>
        </w:rPr>
      </w:pPr>
      <w:r w:rsidRPr="00D8244D">
        <w:rPr>
          <w:bCs/>
        </w:rPr>
        <w:t xml:space="preserve">        - Cor/pulm auskultation</w:t>
      </w:r>
    </w:p>
    <w:p w:rsidR="002D3ECA" w:rsidRPr="00D8244D" w:rsidRDefault="002D3ECA" w:rsidP="002D3ECA">
      <w:pPr>
        <w:pStyle w:val="Default"/>
        <w:numPr>
          <w:ilvl w:val="0"/>
          <w:numId w:val="2"/>
        </w:numPr>
        <w:spacing w:line="276" w:lineRule="auto"/>
        <w:rPr>
          <w:bCs/>
        </w:rPr>
      </w:pPr>
      <w:r w:rsidRPr="00D8244D">
        <w:rPr>
          <w:bCs/>
        </w:rPr>
        <w:t xml:space="preserve">I förekommande fall ska aktuella labprover beställas </w:t>
      </w:r>
    </w:p>
    <w:p w:rsidR="002D3ECA" w:rsidRPr="00D8244D" w:rsidRDefault="002D3ECA" w:rsidP="002D3ECA">
      <w:pPr>
        <w:pStyle w:val="Default"/>
        <w:numPr>
          <w:ilvl w:val="0"/>
          <w:numId w:val="2"/>
        </w:numPr>
        <w:spacing w:line="276" w:lineRule="auto"/>
        <w:rPr>
          <w:bCs/>
        </w:rPr>
      </w:pPr>
      <w:r w:rsidRPr="00D8244D">
        <w:rPr>
          <w:bCs/>
        </w:rPr>
        <w:t>Att pat är informerad om risker med operation</w:t>
      </w:r>
    </w:p>
    <w:p w:rsidR="002D3ECA" w:rsidRPr="00D8244D" w:rsidRDefault="002D3ECA" w:rsidP="002D3ECA">
      <w:pPr>
        <w:pStyle w:val="Default"/>
        <w:spacing w:line="276" w:lineRule="auto"/>
        <w:rPr>
          <w:bCs/>
        </w:rPr>
      </w:pPr>
      <w:r w:rsidRPr="00D8244D">
        <w:rPr>
          <w:bCs/>
        </w:rPr>
        <w:sym w:font="Wingdings" w:char="F0A7"/>
      </w:r>
      <w:r w:rsidRPr="00D8244D">
        <w:rPr>
          <w:bCs/>
        </w:rPr>
        <w:t xml:space="preserve">  </w:t>
      </w:r>
      <w:r>
        <w:rPr>
          <w:bCs/>
        </w:rPr>
        <w:t xml:space="preserve">  </w:t>
      </w:r>
      <w:r w:rsidRPr="00D8244D">
        <w:rPr>
          <w:bCs/>
        </w:rPr>
        <w:t xml:space="preserve">Journal från tidigare relevanta vårdtillfällen från kliniker som inte är kopplade till TC ska </w:t>
      </w:r>
    </w:p>
    <w:p w:rsidR="002D3ECA" w:rsidRPr="00D8244D" w:rsidRDefault="002D3ECA" w:rsidP="002D3ECA">
      <w:pPr>
        <w:pStyle w:val="Default"/>
        <w:spacing w:line="276" w:lineRule="auto"/>
        <w:rPr>
          <w:bCs/>
        </w:rPr>
      </w:pPr>
      <w:r w:rsidRPr="00D8244D">
        <w:rPr>
          <w:bCs/>
        </w:rPr>
        <w:t xml:space="preserve">    </w:t>
      </w:r>
      <w:r>
        <w:rPr>
          <w:bCs/>
        </w:rPr>
        <w:t xml:space="preserve">  </w:t>
      </w:r>
      <w:r w:rsidRPr="00D8244D">
        <w:rPr>
          <w:bCs/>
        </w:rPr>
        <w:t xml:space="preserve">beställas </w:t>
      </w:r>
    </w:p>
    <w:p w:rsidR="002D3ECA" w:rsidRPr="00D8244D" w:rsidRDefault="002D3ECA" w:rsidP="002D3ECA">
      <w:pPr>
        <w:pStyle w:val="Default"/>
        <w:spacing w:line="276" w:lineRule="auto"/>
        <w:rPr>
          <w:bCs/>
        </w:rPr>
      </w:pPr>
      <w:r w:rsidRPr="00D8244D">
        <w:rPr>
          <w:bCs/>
        </w:rPr>
        <w:sym w:font="Wingdings" w:char="F0A7"/>
      </w:r>
      <w:r w:rsidRPr="00D8244D">
        <w:rPr>
          <w:bCs/>
        </w:rPr>
        <w:t xml:space="preserve">  </w:t>
      </w:r>
      <w:r>
        <w:rPr>
          <w:bCs/>
        </w:rPr>
        <w:t xml:space="preserve">  </w:t>
      </w:r>
      <w:r w:rsidRPr="00D8244D">
        <w:rPr>
          <w:bCs/>
        </w:rPr>
        <w:t xml:space="preserve">Dokumentation om ifall rökstoppsinformation har givits och om patienten accepterat </w:t>
      </w:r>
    </w:p>
    <w:p w:rsidR="002D3ECA" w:rsidRPr="00D8244D" w:rsidRDefault="002D3ECA" w:rsidP="002D3ECA">
      <w:pPr>
        <w:pStyle w:val="Default"/>
        <w:spacing w:line="276" w:lineRule="auto"/>
        <w:rPr>
          <w:bCs/>
        </w:rPr>
      </w:pPr>
    </w:p>
    <w:p w:rsidR="002D3ECA" w:rsidRPr="008D1BDF" w:rsidRDefault="002D3ECA" w:rsidP="002D3ECA">
      <w:pPr>
        <w:pStyle w:val="Rubrik1"/>
        <w:rPr>
          <w:rFonts w:eastAsia="Calibri"/>
          <w:sz w:val="24"/>
          <w:szCs w:val="24"/>
        </w:rPr>
      </w:pPr>
      <w:bookmarkStart w:id="4" w:name="_Toc14031347"/>
      <w:r w:rsidRPr="008D1BDF">
        <w:rPr>
          <w:rFonts w:eastAsia="Calibri"/>
          <w:sz w:val="24"/>
          <w:szCs w:val="24"/>
        </w:rPr>
        <w:t>Riskbedömning av patient</w:t>
      </w:r>
      <w:bookmarkEnd w:id="4"/>
      <w:r w:rsidRPr="008D1BDF">
        <w:rPr>
          <w:rFonts w:eastAsia="Calibri"/>
          <w:sz w:val="24"/>
          <w:szCs w:val="24"/>
        </w:rPr>
        <w:t xml:space="preserve"> </w:t>
      </w:r>
    </w:p>
    <w:p w:rsidR="002D3ECA" w:rsidRPr="00560925" w:rsidRDefault="002D3ECA" w:rsidP="002D3ECA">
      <w:pPr>
        <w:pStyle w:val="Default"/>
        <w:spacing w:line="276" w:lineRule="auto"/>
        <w:rPr>
          <w:bCs/>
        </w:rPr>
      </w:pPr>
      <w:r w:rsidRPr="00560925">
        <w:rPr>
          <w:bCs/>
        </w:rPr>
        <w:t xml:space="preserve">Den preoperativa narkosbedömningen kan ske utifrån journalanteckningar och hälsodeklarationen. Ofta behöver narkosläkaren även träffa patienten för en bedömning. </w:t>
      </w:r>
    </w:p>
    <w:p w:rsidR="002D3ECA" w:rsidRDefault="002D3ECA" w:rsidP="002D3ECA">
      <w:pPr>
        <w:pStyle w:val="Default"/>
        <w:spacing w:line="276" w:lineRule="auto"/>
        <w:rPr>
          <w:color w:val="auto"/>
        </w:rPr>
      </w:pPr>
    </w:p>
    <w:tbl>
      <w:tblPr>
        <w:tblStyle w:val="Tabellrutnt"/>
        <w:tblW w:w="0" w:type="auto"/>
        <w:tblLook w:val="04A0" w:firstRow="1" w:lastRow="0" w:firstColumn="1" w:lastColumn="0" w:noHBand="0" w:noVBand="1"/>
      </w:tblPr>
      <w:tblGrid>
        <w:gridCol w:w="4528"/>
        <w:gridCol w:w="4528"/>
      </w:tblGrid>
      <w:tr w:rsidR="002D3ECA" w:rsidRPr="00560925" w:rsidTr="000E30AE">
        <w:tc>
          <w:tcPr>
            <w:tcW w:w="4528" w:type="dxa"/>
          </w:tcPr>
          <w:p w:rsidR="002D3ECA" w:rsidRPr="00560925" w:rsidRDefault="002D3ECA" w:rsidP="000E30AE">
            <w:pPr>
              <w:pStyle w:val="Default"/>
              <w:spacing w:line="276" w:lineRule="auto"/>
              <w:rPr>
                <w:bCs/>
              </w:rPr>
            </w:pPr>
            <w:r w:rsidRPr="00560925">
              <w:rPr>
                <w:bCs/>
              </w:rPr>
              <w:t>Pat som bedöms via hälsodeklaration</w:t>
            </w:r>
          </w:p>
        </w:tc>
        <w:tc>
          <w:tcPr>
            <w:tcW w:w="4528" w:type="dxa"/>
          </w:tcPr>
          <w:p w:rsidR="002D3ECA" w:rsidRPr="00560925" w:rsidRDefault="002D3ECA" w:rsidP="000E30AE">
            <w:pPr>
              <w:pStyle w:val="Default"/>
              <w:spacing w:line="276" w:lineRule="auto"/>
              <w:rPr>
                <w:bCs/>
              </w:rPr>
            </w:pPr>
            <w:r w:rsidRPr="00560925">
              <w:rPr>
                <w:bCs/>
              </w:rPr>
              <w:t>Pat som ska träffa narkosläkare</w:t>
            </w:r>
          </w:p>
        </w:tc>
      </w:tr>
      <w:tr w:rsidR="002D3ECA" w:rsidRPr="00560925" w:rsidTr="000E30AE">
        <w:tc>
          <w:tcPr>
            <w:tcW w:w="4528" w:type="dxa"/>
          </w:tcPr>
          <w:p w:rsidR="002D3ECA" w:rsidRPr="00560925" w:rsidRDefault="002D3ECA" w:rsidP="000E30AE">
            <w:pPr>
              <w:pStyle w:val="Default"/>
              <w:spacing w:line="276" w:lineRule="auto"/>
              <w:rPr>
                <w:bCs/>
              </w:rPr>
            </w:pPr>
            <w:r w:rsidRPr="00560925">
              <w:rPr>
                <w:bCs/>
              </w:rPr>
              <w:t xml:space="preserve">ASA-klass 1+2 och som ska genomgå </w:t>
            </w:r>
          </w:p>
          <w:p w:rsidR="002D3ECA" w:rsidRPr="00560925" w:rsidRDefault="002D3ECA" w:rsidP="002D3ECA">
            <w:pPr>
              <w:pStyle w:val="Default"/>
              <w:numPr>
                <w:ilvl w:val="0"/>
                <w:numId w:val="2"/>
              </w:numPr>
              <w:spacing w:line="276" w:lineRule="auto"/>
              <w:rPr>
                <w:bCs/>
              </w:rPr>
            </w:pPr>
            <w:r w:rsidRPr="00560925">
              <w:rPr>
                <w:bCs/>
              </w:rPr>
              <w:t>Konisering</w:t>
            </w:r>
          </w:p>
          <w:p w:rsidR="002D3ECA" w:rsidRPr="00560925" w:rsidRDefault="002D3ECA" w:rsidP="002D3ECA">
            <w:pPr>
              <w:pStyle w:val="Default"/>
              <w:numPr>
                <w:ilvl w:val="0"/>
                <w:numId w:val="2"/>
              </w:numPr>
              <w:spacing w:line="276" w:lineRule="auto"/>
              <w:rPr>
                <w:bCs/>
              </w:rPr>
            </w:pPr>
            <w:r w:rsidRPr="00560925">
              <w:rPr>
                <w:bCs/>
              </w:rPr>
              <w:t>Hysteroskopi</w:t>
            </w:r>
          </w:p>
          <w:p w:rsidR="002D3ECA" w:rsidRPr="00560925" w:rsidRDefault="002D3ECA" w:rsidP="002D3ECA">
            <w:pPr>
              <w:pStyle w:val="Default"/>
              <w:numPr>
                <w:ilvl w:val="0"/>
                <w:numId w:val="2"/>
              </w:numPr>
              <w:spacing w:line="276" w:lineRule="auto"/>
              <w:rPr>
                <w:bCs/>
              </w:rPr>
            </w:pPr>
            <w:r w:rsidRPr="00560925">
              <w:rPr>
                <w:bCs/>
              </w:rPr>
              <w:lastRenderedPageBreak/>
              <w:t>Laparoskopi (enklare ingrepp)</w:t>
            </w:r>
          </w:p>
          <w:p w:rsidR="002D3ECA" w:rsidRPr="00560925" w:rsidRDefault="002D3ECA" w:rsidP="002D3ECA">
            <w:pPr>
              <w:pStyle w:val="Default"/>
              <w:numPr>
                <w:ilvl w:val="0"/>
                <w:numId w:val="2"/>
              </w:numPr>
              <w:spacing w:line="276" w:lineRule="auto"/>
              <w:rPr>
                <w:bCs/>
              </w:rPr>
            </w:pPr>
            <w:r w:rsidRPr="00560925">
              <w:rPr>
                <w:bCs/>
              </w:rPr>
              <w:t>TVT</w:t>
            </w:r>
          </w:p>
          <w:p w:rsidR="002D3ECA" w:rsidRPr="00560925" w:rsidRDefault="002D3ECA" w:rsidP="002D3ECA">
            <w:pPr>
              <w:pStyle w:val="Default"/>
              <w:numPr>
                <w:ilvl w:val="0"/>
                <w:numId w:val="2"/>
              </w:numPr>
              <w:spacing w:line="276" w:lineRule="auto"/>
              <w:rPr>
                <w:bCs/>
              </w:rPr>
            </w:pPr>
            <w:r w:rsidRPr="00560925">
              <w:rPr>
                <w:bCs/>
              </w:rPr>
              <w:t>Fraktionerat abrasio</w:t>
            </w:r>
          </w:p>
          <w:p w:rsidR="002D3ECA" w:rsidRPr="00560925" w:rsidRDefault="002D3ECA" w:rsidP="002D3ECA">
            <w:pPr>
              <w:pStyle w:val="Default"/>
              <w:numPr>
                <w:ilvl w:val="0"/>
                <w:numId w:val="2"/>
              </w:numPr>
              <w:spacing w:line="276" w:lineRule="auto"/>
              <w:rPr>
                <w:bCs/>
              </w:rPr>
            </w:pPr>
            <w:r w:rsidRPr="00560925">
              <w:rPr>
                <w:bCs/>
              </w:rPr>
              <w:t>Total laparoskopisk hysterektomi, laparoskopiskt assisterad vaginal hysterektomi, vaginal hysterektomi</w:t>
            </w:r>
          </w:p>
        </w:tc>
        <w:tc>
          <w:tcPr>
            <w:tcW w:w="4528" w:type="dxa"/>
          </w:tcPr>
          <w:p w:rsidR="002D3ECA" w:rsidRPr="00560925" w:rsidRDefault="002D3ECA" w:rsidP="002D3ECA">
            <w:pPr>
              <w:pStyle w:val="Default"/>
              <w:numPr>
                <w:ilvl w:val="0"/>
                <w:numId w:val="3"/>
              </w:numPr>
              <w:spacing w:line="276" w:lineRule="auto"/>
              <w:rPr>
                <w:bCs/>
              </w:rPr>
            </w:pPr>
            <w:r w:rsidRPr="00560925">
              <w:rPr>
                <w:bCs/>
              </w:rPr>
              <w:lastRenderedPageBreak/>
              <w:t>ASA-klass 3 oberoende på ingrepp</w:t>
            </w:r>
          </w:p>
          <w:p w:rsidR="002D3ECA" w:rsidRPr="00560925" w:rsidRDefault="002D3ECA" w:rsidP="002D3ECA">
            <w:pPr>
              <w:pStyle w:val="Default"/>
              <w:numPr>
                <w:ilvl w:val="0"/>
                <w:numId w:val="3"/>
              </w:numPr>
              <w:spacing w:line="276" w:lineRule="auto"/>
              <w:rPr>
                <w:bCs/>
              </w:rPr>
            </w:pPr>
            <w:r w:rsidRPr="00560925">
              <w:rPr>
                <w:bCs/>
              </w:rPr>
              <w:t>Alla laparotomier</w:t>
            </w:r>
          </w:p>
          <w:p w:rsidR="002D3ECA" w:rsidRPr="00560925" w:rsidRDefault="002D3ECA" w:rsidP="002D3ECA">
            <w:pPr>
              <w:pStyle w:val="Default"/>
              <w:numPr>
                <w:ilvl w:val="0"/>
                <w:numId w:val="3"/>
              </w:numPr>
              <w:spacing w:line="276" w:lineRule="auto"/>
              <w:rPr>
                <w:bCs/>
              </w:rPr>
            </w:pPr>
            <w:r w:rsidRPr="00560925">
              <w:rPr>
                <w:bCs/>
              </w:rPr>
              <w:t>Prolapser</w:t>
            </w:r>
          </w:p>
          <w:p w:rsidR="002D3ECA" w:rsidRPr="00560925" w:rsidRDefault="002D3ECA" w:rsidP="002D3ECA">
            <w:pPr>
              <w:pStyle w:val="Default"/>
              <w:numPr>
                <w:ilvl w:val="0"/>
                <w:numId w:val="3"/>
              </w:numPr>
              <w:spacing w:line="276" w:lineRule="auto"/>
              <w:rPr>
                <w:bCs/>
              </w:rPr>
            </w:pPr>
            <w:r w:rsidRPr="00560925">
              <w:rPr>
                <w:bCs/>
              </w:rPr>
              <w:lastRenderedPageBreak/>
              <w:t>Ålder &gt;60 år</w:t>
            </w:r>
          </w:p>
          <w:p w:rsidR="002D3ECA" w:rsidRPr="00560925" w:rsidRDefault="002D3ECA" w:rsidP="002D3ECA">
            <w:pPr>
              <w:pStyle w:val="Default"/>
              <w:numPr>
                <w:ilvl w:val="0"/>
                <w:numId w:val="3"/>
              </w:numPr>
              <w:spacing w:line="276" w:lineRule="auto"/>
              <w:rPr>
                <w:bCs/>
              </w:rPr>
            </w:pPr>
            <w:r w:rsidRPr="00560925">
              <w:rPr>
                <w:bCs/>
              </w:rPr>
              <w:t>BMI&gt;35</w:t>
            </w:r>
          </w:p>
          <w:p w:rsidR="002D3ECA" w:rsidRPr="00560925" w:rsidRDefault="002D3ECA" w:rsidP="002D3ECA">
            <w:pPr>
              <w:pStyle w:val="Default"/>
              <w:numPr>
                <w:ilvl w:val="0"/>
                <w:numId w:val="3"/>
              </w:numPr>
              <w:spacing w:line="276" w:lineRule="auto"/>
              <w:rPr>
                <w:bCs/>
              </w:rPr>
            </w:pPr>
            <w:r w:rsidRPr="00560925">
              <w:rPr>
                <w:bCs/>
              </w:rPr>
              <w:t>Hjärt-/lungsjukdom</w:t>
            </w:r>
          </w:p>
          <w:p w:rsidR="002D3ECA" w:rsidRPr="00560925" w:rsidRDefault="002D3ECA" w:rsidP="002D3ECA">
            <w:pPr>
              <w:pStyle w:val="Default"/>
              <w:numPr>
                <w:ilvl w:val="0"/>
                <w:numId w:val="3"/>
              </w:numPr>
              <w:spacing w:line="276" w:lineRule="auto"/>
              <w:rPr>
                <w:bCs/>
              </w:rPr>
            </w:pPr>
            <w:r w:rsidRPr="00560925">
              <w:rPr>
                <w:bCs/>
              </w:rPr>
              <w:t>Tidigare narkoskomplikationer</w:t>
            </w:r>
          </w:p>
          <w:p w:rsidR="002D3ECA" w:rsidRPr="00560925" w:rsidRDefault="002D3ECA" w:rsidP="002D3ECA">
            <w:pPr>
              <w:pStyle w:val="Default"/>
              <w:numPr>
                <w:ilvl w:val="0"/>
                <w:numId w:val="3"/>
              </w:numPr>
              <w:spacing w:line="276" w:lineRule="auto"/>
              <w:rPr>
                <w:bCs/>
              </w:rPr>
            </w:pPr>
            <w:r w:rsidRPr="00560925">
              <w:rPr>
                <w:bCs/>
              </w:rPr>
              <w:t>Pat som behöver tolk</w:t>
            </w:r>
          </w:p>
          <w:p w:rsidR="002D3ECA" w:rsidRPr="00560925" w:rsidRDefault="002D3ECA" w:rsidP="002D3ECA">
            <w:pPr>
              <w:pStyle w:val="Default"/>
              <w:numPr>
                <w:ilvl w:val="0"/>
                <w:numId w:val="3"/>
              </w:numPr>
              <w:spacing w:line="276" w:lineRule="auto"/>
              <w:rPr>
                <w:bCs/>
              </w:rPr>
            </w:pPr>
            <w:r w:rsidRPr="00560925">
              <w:rPr>
                <w:bCs/>
              </w:rPr>
              <w:t>Smärtpatienter</w:t>
            </w:r>
          </w:p>
          <w:p w:rsidR="002D3ECA" w:rsidRPr="00560925" w:rsidRDefault="002D3ECA" w:rsidP="002D3ECA">
            <w:pPr>
              <w:pStyle w:val="Default"/>
              <w:numPr>
                <w:ilvl w:val="0"/>
                <w:numId w:val="3"/>
              </w:numPr>
              <w:spacing w:line="276" w:lineRule="auto"/>
              <w:rPr>
                <w:bCs/>
              </w:rPr>
            </w:pPr>
            <w:r w:rsidRPr="00560925">
              <w:rPr>
                <w:bCs/>
              </w:rPr>
              <w:t>Pat som uttrycker oro för smärta/sövning</w:t>
            </w:r>
          </w:p>
          <w:p w:rsidR="002D3ECA" w:rsidRPr="00560925" w:rsidRDefault="002D3ECA" w:rsidP="002D3ECA">
            <w:pPr>
              <w:pStyle w:val="Default"/>
              <w:numPr>
                <w:ilvl w:val="0"/>
                <w:numId w:val="3"/>
              </w:numPr>
              <w:spacing w:line="276" w:lineRule="auto"/>
              <w:rPr>
                <w:bCs/>
              </w:rPr>
            </w:pPr>
            <w:r w:rsidRPr="00560925">
              <w:rPr>
                <w:bCs/>
              </w:rPr>
              <w:t>Myomenukleationer oberoende på op modalitet</w:t>
            </w:r>
          </w:p>
          <w:p w:rsidR="002D3ECA" w:rsidRPr="00560925" w:rsidRDefault="002D3ECA" w:rsidP="002D3ECA">
            <w:pPr>
              <w:pStyle w:val="Default"/>
              <w:numPr>
                <w:ilvl w:val="0"/>
                <w:numId w:val="3"/>
              </w:numPr>
              <w:spacing w:line="276" w:lineRule="auto"/>
              <w:rPr>
                <w:bCs/>
              </w:rPr>
            </w:pPr>
            <w:r w:rsidRPr="00560925">
              <w:rPr>
                <w:bCs/>
              </w:rPr>
              <w:t>Patienter med Reumatoid Artrit</w:t>
            </w:r>
          </w:p>
        </w:tc>
      </w:tr>
    </w:tbl>
    <w:p w:rsidR="002D3ECA" w:rsidRDefault="002D3ECA" w:rsidP="002D3ECA">
      <w:pPr>
        <w:pStyle w:val="Default"/>
        <w:spacing w:line="276" w:lineRule="auto"/>
        <w:rPr>
          <w:color w:val="auto"/>
        </w:rPr>
      </w:pPr>
    </w:p>
    <w:p w:rsidR="002D3ECA" w:rsidRPr="00560925" w:rsidRDefault="002D3ECA" w:rsidP="002D3ECA">
      <w:pPr>
        <w:pStyle w:val="Default"/>
        <w:spacing w:line="276" w:lineRule="auto"/>
        <w:rPr>
          <w:bCs/>
        </w:rPr>
      </w:pPr>
      <w:r w:rsidRPr="00560925">
        <w:rPr>
          <w:bCs/>
        </w:rPr>
        <w:t xml:space="preserve">Patient med ASA-klass 4 och stark operationsindikation bör diskuteras med narkosläkare innan orbitanmälan för operation.  </w:t>
      </w:r>
    </w:p>
    <w:p w:rsidR="002D3ECA" w:rsidRDefault="002D3ECA" w:rsidP="002D3ECA">
      <w:pPr>
        <w:pStyle w:val="Default"/>
        <w:spacing w:line="276" w:lineRule="auto"/>
        <w:rPr>
          <w:color w:val="auto"/>
        </w:rPr>
      </w:pPr>
    </w:p>
    <w:tbl>
      <w:tblPr>
        <w:tblStyle w:val="Tabellrutnt"/>
        <w:tblW w:w="0" w:type="auto"/>
        <w:tblLook w:val="04A0" w:firstRow="1" w:lastRow="0" w:firstColumn="1" w:lastColumn="0" w:noHBand="0" w:noVBand="1"/>
      </w:tblPr>
      <w:tblGrid>
        <w:gridCol w:w="9056"/>
      </w:tblGrid>
      <w:tr w:rsidR="002D3ECA" w:rsidRPr="00560925" w:rsidTr="000E30AE">
        <w:tc>
          <w:tcPr>
            <w:tcW w:w="9056" w:type="dxa"/>
            <w:tcBorders>
              <w:bottom w:val="single" w:sz="4" w:space="0" w:color="auto"/>
            </w:tcBorders>
            <w:shd w:val="clear" w:color="auto" w:fill="DAEEF3" w:themeFill="accent5" w:themeFillTint="33"/>
          </w:tcPr>
          <w:p w:rsidR="002D3ECA" w:rsidRPr="00560925" w:rsidRDefault="002D3ECA" w:rsidP="000E30AE">
            <w:pPr>
              <w:pStyle w:val="Default"/>
              <w:spacing w:line="276" w:lineRule="auto"/>
            </w:pPr>
            <w:r w:rsidRPr="00560925">
              <w:rPr>
                <w:b/>
                <w:bCs/>
              </w:rPr>
              <w:t>ASA-klassificering</w:t>
            </w:r>
          </w:p>
        </w:tc>
      </w:tr>
      <w:tr w:rsidR="002D3ECA" w:rsidRPr="00560925" w:rsidTr="000E30AE">
        <w:tc>
          <w:tcPr>
            <w:tcW w:w="9056" w:type="dxa"/>
            <w:tcBorders>
              <w:bottom w:val="single" w:sz="4" w:space="0" w:color="auto"/>
            </w:tcBorders>
            <w:shd w:val="clear" w:color="auto" w:fill="F2F2F2" w:themeFill="background1" w:themeFillShade="F2"/>
          </w:tcPr>
          <w:p w:rsidR="002D3ECA" w:rsidRPr="00560925" w:rsidRDefault="002D3ECA" w:rsidP="000E30AE">
            <w:pPr>
              <w:pStyle w:val="Default"/>
              <w:spacing w:line="276" w:lineRule="auto"/>
            </w:pPr>
            <w:r w:rsidRPr="00560925">
              <w:rPr>
                <w:b/>
                <w:bCs/>
              </w:rPr>
              <w:t>ASA 1 – Frisk patient</w:t>
            </w:r>
            <w:r w:rsidRPr="00560925">
              <w:rPr>
                <w:b/>
                <w:bCs/>
              </w:rPr>
              <w:br/>
            </w:r>
            <w:r w:rsidRPr="00560925">
              <w:rPr>
                <w:bCs/>
              </w:rPr>
              <w:t>Exempel:</w:t>
            </w:r>
            <w:r w:rsidRPr="00560925">
              <w:rPr>
                <w:b/>
                <w:bCs/>
              </w:rPr>
              <w:t xml:space="preserve"> </w:t>
            </w:r>
            <w:r w:rsidRPr="00560925">
              <w:t>Frisk, icke-rökare, ingen eller minimal alkoholkonsumtion.</w:t>
            </w:r>
          </w:p>
        </w:tc>
      </w:tr>
      <w:tr w:rsidR="002D3ECA" w:rsidRPr="00560925" w:rsidTr="000E30AE">
        <w:tc>
          <w:tcPr>
            <w:tcW w:w="9056" w:type="dxa"/>
            <w:tcBorders>
              <w:bottom w:val="single" w:sz="4" w:space="0" w:color="auto"/>
            </w:tcBorders>
            <w:shd w:val="clear" w:color="auto" w:fill="auto"/>
          </w:tcPr>
          <w:p w:rsidR="002D3ECA" w:rsidRPr="00560925" w:rsidRDefault="002D3ECA" w:rsidP="000E30AE">
            <w:pPr>
              <w:pStyle w:val="Default"/>
              <w:spacing w:line="276" w:lineRule="auto"/>
            </w:pPr>
            <w:r w:rsidRPr="00560925">
              <w:rPr>
                <w:b/>
                <w:bCs/>
              </w:rPr>
              <w:t>ASA 2 - Patient med lindrig systemsjukdom</w:t>
            </w:r>
            <w:r w:rsidRPr="00560925">
              <w:rPr>
                <w:b/>
                <w:bCs/>
              </w:rPr>
              <w:br/>
            </w:r>
            <w:r w:rsidRPr="00560925">
              <w:rPr>
                <w:bCs/>
              </w:rPr>
              <w:t>Exempel: Lindrig systemsjukdom utan påtaglig funktionell begränsning; rökare, regelbunden alkoholkonsumtion utan beroende eller missbruk, graviditet, övervikt (BMI 30 - 39), välkontrollerad diabetes/hypertoni, lindrig lungsjukdom.</w:t>
            </w:r>
          </w:p>
        </w:tc>
      </w:tr>
      <w:tr w:rsidR="002D3ECA" w:rsidRPr="00560925" w:rsidTr="000E30AE">
        <w:tc>
          <w:tcPr>
            <w:tcW w:w="9056" w:type="dxa"/>
            <w:shd w:val="clear" w:color="auto" w:fill="F2F2F2" w:themeFill="background1" w:themeFillShade="F2"/>
          </w:tcPr>
          <w:p w:rsidR="002D3ECA" w:rsidRPr="00560925" w:rsidRDefault="002D3ECA" w:rsidP="000E30AE">
            <w:pPr>
              <w:pStyle w:val="Default"/>
              <w:spacing w:line="276" w:lineRule="auto"/>
            </w:pPr>
            <w:r w:rsidRPr="00560925">
              <w:rPr>
                <w:b/>
                <w:bCs/>
              </w:rPr>
              <w:t>ASA 3 - Patient med allvarlig systemsjukdom</w:t>
            </w:r>
            <w:r w:rsidRPr="00560925">
              <w:rPr>
                <w:b/>
                <w:bCs/>
              </w:rPr>
              <w:br/>
            </w:r>
            <w:r w:rsidRPr="00560925">
              <w:rPr>
                <w:bCs/>
              </w:rPr>
              <w:t>En eller flera allvarliga systemsjukdomar med påtaglig funktionell begränsning. Exempel: otillräckligt reglerad diabetes eller hypertoni, kronisk obstruktiv lungsjukdom (KOL), sjuklig fetma (BMI ≥40), aktiv hepatit, alkoholberoende eller alkoholmissbruk, pacemaker, måttligt nedsatt ejektionsfraktion, ischemisk hjärtsjukdom, terminal njursvikt med regelbunden dialysbehandling, prematura barn med gestationsålder &lt;60 veckor, genomgången (&gt;3 månader) hjärtinfarkt eller kranskärlsintervention, transitorisk ischemisk attack (TIA) eller stroke.</w:t>
            </w:r>
          </w:p>
        </w:tc>
      </w:tr>
      <w:tr w:rsidR="002D3ECA" w:rsidRPr="00560925" w:rsidTr="000E30AE">
        <w:tc>
          <w:tcPr>
            <w:tcW w:w="9056" w:type="dxa"/>
            <w:tcBorders>
              <w:bottom w:val="single" w:sz="4" w:space="0" w:color="auto"/>
            </w:tcBorders>
          </w:tcPr>
          <w:p w:rsidR="002D3ECA" w:rsidRPr="00560925" w:rsidRDefault="002D3ECA" w:rsidP="000E30AE">
            <w:pPr>
              <w:pStyle w:val="Default"/>
              <w:spacing w:line="276" w:lineRule="auto"/>
            </w:pPr>
            <w:r w:rsidRPr="00560925">
              <w:rPr>
                <w:b/>
                <w:bCs/>
              </w:rPr>
              <w:t>ASA 4 - Patient med allvarlig och ständigt livshotande systemsjukdom</w:t>
            </w:r>
            <w:r w:rsidRPr="00560925">
              <w:rPr>
                <w:b/>
                <w:bCs/>
              </w:rPr>
              <w:br/>
            </w:r>
            <w:r w:rsidRPr="00560925">
              <w:rPr>
                <w:bCs/>
              </w:rPr>
              <w:t>Exempel: nyligen genomgången (&lt;3 månader) hjärtinfarkt eller kranskärlsintervention, transitorisk ischemisk attack (TIA) eller stroke. Pågående hjärtischemi eller allvarlig klaffsjukdom, uttalat nedsatt ejektionsfraktion, sepsis, disseminerad intravasal koagulation (DIC), akut njursvikt eller terminal njursvikt som inte behandlats med regelbunden dialys.</w:t>
            </w:r>
          </w:p>
        </w:tc>
      </w:tr>
      <w:tr w:rsidR="002D3ECA" w:rsidRPr="00560925" w:rsidTr="000E30AE">
        <w:tc>
          <w:tcPr>
            <w:tcW w:w="9056" w:type="dxa"/>
            <w:shd w:val="clear" w:color="auto" w:fill="F2F2F2" w:themeFill="background1" w:themeFillShade="F2"/>
          </w:tcPr>
          <w:p w:rsidR="002D3ECA" w:rsidRPr="00560925" w:rsidRDefault="002D3ECA" w:rsidP="000E30AE">
            <w:pPr>
              <w:pStyle w:val="Default"/>
              <w:spacing w:line="276" w:lineRule="auto"/>
            </w:pPr>
            <w:r w:rsidRPr="00560925">
              <w:rPr>
                <w:b/>
                <w:bCs/>
              </w:rPr>
              <w:t>ASA 5 - Moribund patient som inte förväntas överleva utan operation</w:t>
            </w:r>
            <w:r w:rsidRPr="00560925">
              <w:rPr>
                <w:b/>
                <w:bCs/>
              </w:rPr>
              <w:br/>
            </w:r>
            <w:r w:rsidRPr="00560925">
              <w:rPr>
                <w:bCs/>
              </w:rPr>
              <w:t>Exempel: rupturerat abdominellt/torakalt aortaaneurysm, stort trauma, intrakraniell blödning med masseffekt, ischemisk tarm hos patient med svår hjärtsjukdom eller multiorgansvikt.</w:t>
            </w:r>
          </w:p>
        </w:tc>
      </w:tr>
    </w:tbl>
    <w:p w:rsidR="002D3ECA" w:rsidRDefault="002D3ECA" w:rsidP="002D3ECA">
      <w:pPr>
        <w:pStyle w:val="Rubrik1"/>
      </w:pPr>
      <w:bookmarkStart w:id="5" w:name="_Toc14031348"/>
      <w:r w:rsidRPr="00560925">
        <w:rPr>
          <w:rFonts w:eastAsia="Calibri"/>
        </w:rPr>
        <w:t>Preoperativ utredning</w:t>
      </w:r>
      <w:bookmarkEnd w:id="5"/>
    </w:p>
    <w:p w:rsidR="002D3ECA" w:rsidRPr="00533E6C" w:rsidRDefault="002D3ECA" w:rsidP="002D3ECA">
      <w:pPr>
        <w:pStyle w:val="Default"/>
        <w:spacing w:line="276" w:lineRule="auto"/>
        <w:rPr>
          <w:b/>
          <w:bCs/>
        </w:rPr>
      </w:pPr>
    </w:p>
    <w:p w:rsidR="002D3ECA" w:rsidRPr="008D1BDF" w:rsidRDefault="002D3ECA" w:rsidP="0044167F">
      <w:pPr>
        <w:pStyle w:val="Rubrik2"/>
        <w:ind w:left="0"/>
        <w:rPr>
          <w:rFonts w:eastAsia="Calibri" w:cs="Times New Roman"/>
          <w:b w:val="0"/>
          <w:color w:val="000000" w:themeColor="text1"/>
          <w:szCs w:val="24"/>
        </w:rPr>
      </w:pPr>
      <w:bookmarkStart w:id="6" w:name="_Toc14031349"/>
      <w:r w:rsidRPr="008D1BDF">
        <w:rPr>
          <w:rFonts w:eastAsia="Calibri" w:cs="Times New Roman"/>
          <w:color w:val="000000" w:themeColor="text1"/>
          <w:szCs w:val="24"/>
        </w:rPr>
        <w:t>Blodgruppering och BAS-test vid gynekologiska ingrepp</w:t>
      </w:r>
      <w:bookmarkEnd w:id="6"/>
    </w:p>
    <w:p w:rsidR="002D3ECA" w:rsidRPr="00560925" w:rsidRDefault="002D3ECA" w:rsidP="002D3ECA">
      <w:pPr>
        <w:pStyle w:val="Default"/>
        <w:spacing w:line="276" w:lineRule="auto"/>
        <w:rPr>
          <w:bCs/>
        </w:rPr>
      </w:pPr>
      <w:r w:rsidRPr="00560925">
        <w:rPr>
          <w:bCs/>
        </w:rPr>
        <w:t xml:space="preserve">Blodgruppering och BAS-test tas enligt följande på patienter som ska genomgå gynekologiska ingrepp. BAS-test måste finnas tillgängligt </w:t>
      </w:r>
      <w:r w:rsidRPr="00560925">
        <w:rPr>
          <w:b/>
          <w:bCs/>
        </w:rPr>
        <w:t xml:space="preserve">före start </w:t>
      </w:r>
      <w:r w:rsidRPr="00560925">
        <w:rPr>
          <w:bCs/>
        </w:rPr>
        <w:t xml:space="preserve">av anestesi/operation och det är giltigt i </w:t>
      </w:r>
      <w:r w:rsidRPr="00660EE8">
        <w:rPr>
          <w:b/>
          <w:bCs/>
        </w:rPr>
        <w:t>fyra dygn</w:t>
      </w:r>
      <w:r w:rsidRPr="00560925">
        <w:rPr>
          <w:bCs/>
        </w:rPr>
        <w:t xml:space="preserve">. Korstest av ett specificerat antal blodenheter görs endast vid förekomst av antikroppar. Blodgruppering och BAS-test ska tas på alla patienter med blödningsbenägenhet (även läkemedelsinducerad) och anemi preoperativt. </w:t>
      </w:r>
    </w:p>
    <w:p w:rsidR="002D3ECA" w:rsidRDefault="002D3ECA" w:rsidP="002D3ECA">
      <w:pPr>
        <w:pStyle w:val="Default"/>
        <w:spacing w:line="276" w:lineRule="auto"/>
        <w:rPr>
          <w:color w:val="auto"/>
        </w:rPr>
      </w:pPr>
    </w:p>
    <w:tbl>
      <w:tblPr>
        <w:tblStyle w:val="Tabellrutnt"/>
        <w:tblW w:w="0" w:type="auto"/>
        <w:tblLook w:val="04A0" w:firstRow="1" w:lastRow="0" w:firstColumn="1" w:lastColumn="0" w:noHBand="0" w:noVBand="1"/>
      </w:tblPr>
      <w:tblGrid>
        <w:gridCol w:w="3018"/>
        <w:gridCol w:w="3019"/>
        <w:gridCol w:w="3019"/>
      </w:tblGrid>
      <w:tr w:rsidR="002D3ECA" w:rsidRPr="00560925" w:rsidTr="000E30AE">
        <w:tc>
          <w:tcPr>
            <w:tcW w:w="3018" w:type="dxa"/>
            <w:shd w:val="clear" w:color="auto" w:fill="DAEEF3" w:themeFill="accent5" w:themeFillTint="33"/>
          </w:tcPr>
          <w:p w:rsidR="002D3ECA" w:rsidRPr="00560925" w:rsidRDefault="002D3ECA" w:rsidP="000E30AE">
            <w:pPr>
              <w:pStyle w:val="Default"/>
              <w:spacing w:line="276" w:lineRule="auto"/>
              <w:rPr>
                <w:bCs/>
              </w:rPr>
            </w:pPr>
            <w:r w:rsidRPr="00560925">
              <w:rPr>
                <w:bCs/>
              </w:rPr>
              <w:t>Ingrepp</w:t>
            </w:r>
          </w:p>
        </w:tc>
        <w:tc>
          <w:tcPr>
            <w:tcW w:w="3019" w:type="dxa"/>
            <w:shd w:val="clear" w:color="auto" w:fill="DAEEF3" w:themeFill="accent5" w:themeFillTint="33"/>
          </w:tcPr>
          <w:p w:rsidR="002D3ECA" w:rsidRPr="00560925" w:rsidRDefault="002D3ECA" w:rsidP="000E30AE">
            <w:pPr>
              <w:pStyle w:val="Default"/>
              <w:spacing w:line="276" w:lineRule="auto"/>
              <w:rPr>
                <w:bCs/>
              </w:rPr>
            </w:pPr>
            <w:r w:rsidRPr="00560925">
              <w:rPr>
                <w:bCs/>
              </w:rPr>
              <w:t>Blodgruppering</w:t>
            </w:r>
          </w:p>
        </w:tc>
        <w:tc>
          <w:tcPr>
            <w:tcW w:w="3019" w:type="dxa"/>
            <w:shd w:val="clear" w:color="auto" w:fill="DAEEF3" w:themeFill="accent5" w:themeFillTint="33"/>
          </w:tcPr>
          <w:p w:rsidR="002D3ECA" w:rsidRPr="00560925" w:rsidRDefault="002D3ECA" w:rsidP="000E30AE">
            <w:pPr>
              <w:pStyle w:val="Default"/>
              <w:spacing w:line="276" w:lineRule="auto"/>
              <w:rPr>
                <w:bCs/>
              </w:rPr>
            </w:pPr>
            <w:r w:rsidRPr="00560925">
              <w:rPr>
                <w:bCs/>
              </w:rPr>
              <w:t>BAS-test</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Exeres, akut</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Exeres, planerat</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Exeres pga misstänkt mola</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Sent avbrytande</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Fraktionerat abrasio</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Hysteroskopi, diagnostisk</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Hysteroskopi, operativ (TCRE, TCRP, TCRM)</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Endometrieablation</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Hysterektomi (vaginal, TLH, LAVH, tomi)</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Konisering</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Konisering, gravid</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Laparoskopi</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Laparotomi</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 xml:space="preserve">Perineorafi </w:t>
            </w:r>
          </w:p>
        </w:tc>
        <w:tc>
          <w:tcPr>
            <w:tcW w:w="3019" w:type="dxa"/>
          </w:tcPr>
          <w:p w:rsidR="002D3ECA" w:rsidRPr="00560925" w:rsidRDefault="002D3ECA" w:rsidP="000E30AE">
            <w:pPr>
              <w:pStyle w:val="Default"/>
              <w:spacing w:line="276" w:lineRule="auto"/>
              <w:rPr>
                <w:bCs/>
              </w:rPr>
            </w:pPr>
            <w:r w:rsidRPr="00560925">
              <w:rPr>
                <w:bCs/>
              </w:rPr>
              <w:t>Nej</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Prolapsplastik med nät</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 xml:space="preserve">Prolapsplastik utan nät </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Sfinkterrekonstruktion</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Vulvaplastik</w:t>
            </w:r>
          </w:p>
        </w:tc>
        <w:tc>
          <w:tcPr>
            <w:tcW w:w="3019" w:type="dxa"/>
          </w:tcPr>
          <w:p w:rsidR="002D3ECA" w:rsidRPr="00560925" w:rsidRDefault="002D3ECA" w:rsidP="000E30AE">
            <w:pPr>
              <w:pStyle w:val="Default"/>
              <w:spacing w:line="276" w:lineRule="auto"/>
              <w:rPr>
                <w:bCs/>
              </w:rPr>
            </w:pPr>
            <w:r w:rsidRPr="00560925">
              <w:rPr>
                <w:bCs/>
              </w:rPr>
              <w:t>Nej</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TVT</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Nej</w:t>
            </w:r>
          </w:p>
        </w:tc>
      </w:tr>
      <w:tr w:rsidR="002D3ECA" w:rsidRPr="00560925" w:rsidTr="000E30AE">
        <w:tc>
          <w:tcPr>
            <w:tcW w:w="3018" w:type="dxa"/>
          </w:tcPr>
          <w:p w:rsidR="002D3ECA" w:rsidRPr="00560925" w:rsidRDefault="002D3ECA" w:rsidP="000E30AE">
            <w:pPr>
              <w:pStyle w:val="Default"/>
              <w:spacing w:line="276" w:lineRule="auto"/>
              <w:rPr>
                <w:bCs/>
              </w:rPr>
            </w:pPr>
            <w:r w:rsidRPr="00560925">
              <w:rPr>
                <w:bCs/>
              </w:rPr>
              <w:t>Vaginektomi</w:t>
            </w:r>
          </w:p>
        </w:tc>
        <w:tc>
          <w:tcPr>
            <w:tcW w:w="3019" w:type="dxa"/>
          </w:tcPr>
          <w:p w:rsidR="002D3ECA" w:rsidRPr="00560925" w:rsidRDefault="002D3ECA" w:rsidP="000E30AE">
            <w:pPr>
              <w:pStyle w:val="Default"/>
              <w:spacing w:line="276" w:lineRule="auto"/>
              <w:rPr>
                <w:bCs/>
              </w:rPr>
            </w:pPr>
            <w:r w:rsidRPr="00560925">
              <w:rPr>
                <w:bCs/>
              </w:rPr>
              <w:t>Ja</w:t>
            </w:r>
          </w:p>
        </w:tc>
        <w:tc>
          <w:tcPr>
            <w:tcW w:w="3019" w:type="dxa"/>
          </w:tcPr>
          <w:p w:rsidR="002D3ECA" w:rsidRPr="00560925" w:rsidRDefault="002D3ECA" w:rsidP="000E30AE">
            <w:pPr>
              <w:pStyle w:val="Default"/>
              <w:spacing w:line="276" w:lineRule="auto"/>
              <w:rPr>
                <w:bCs/>
              </w:rPr>
            </w:pPr>
            <w:r w:rsidRPr="00560925">
              <w:rPr>
                <w:bCs/>
              </w:rPr>
              <w:t>Ja</w:t>
            </w:r>
          </w:p>
        </w:tc>
      </w:tr>
      <w:tr w:rsidR="002D3ECA" w:rsidRPr="00560925" w:rsidTr="000E30AE">
        <w:tc>
          <w:tcPr>
            <w:tcW w:w="3018" w:type="dxa"/>
          </w:tcPr>
          <w:p w:rsidR="002D3ECA" w:rsidRPr="00560925" w:rsidRDefault="002D3ECA" w:rsidP="000E30AE">
            <w:pPr>
              <w:pStyle w:val="Default"/>
              <w:spacing w:line="276" w:lineRule="auto"/>
              <w:rPr>
                <w:bCs/>
              </w:rPr>
            </w:pPr>
            <w:r>
              <w:rPr>
                <w:bCs/>
              </w:rPr>
              <w:t>Sakrokolpopexi</w:t>
            </w:r>
          </w:p>
        </w:tc>
        <w:tc>
          <w:tcPr>
            <w:tcW w:w="3019" w:type="dxa"/>
          </w:tcPr>
          <w:p w:rsidR="002D3ECA" w:rsidRPr="00560925" w:rsidRDefault="002D3ECA" w:rsidP="000E30AE">
            <w:pPr>
              <w:pStyle w:val="Default"/>
              <w:spacing w:line="276" w:lineRule="auto"/>
              <w:rPr>
                <w:bCs/>
              </w:rPr>
            </w:pPr>
            <w:r>
              <w:rPr>
                <w:bCs/>
              </w:rPr>
              <w:t>Ja</w:t>
            </w:r>
          </w:p>
        </w:tc>
        <w:tc>
          <w:tcPr>
            <w:tcW w:w="3019" w:type="dxa"/>
          </w:tcPr>
          <w:p w:rsidR="002D3ECA" w:rsidRPr="00560925" w:rsidRDefault="002D3ECA" w:rsidP="000E30AE">
            <w:pPr>
              <w:pStyle w:val="Default"/>
              <w:spacing w:line="276" w:lineRule="auto"/>
              <w:rPr>
                <w:bCs/>
              </w:rPr>
            </w:pPr>
            <w:r>
              <w:rPr>
                <w:bCs/>
              </w:rPr>
              <w:t>Ja</w:t>
            </w:r>
          </w:p>
        </w:tc>
      </w:tr>
    </w:tbl>
    <w:p w:rsidR="002D3ECA" w:rsidRDefault="002D3ECA" w:rsidP="002D3ECA">
      <w:pPr>
        <w:pStyle w:val="Default"/>
        <w:spacing w:line="276" w:lineRule="auto"/>
        <w:rPr>
          <w:color w:val="auto"/>
        </w:rPr>
      </w:pPr>
    </w:p>
    <w:p w:rsidR="002D3ECA" w:rsidRDefault="002D3ECA" w:rsidP="002D3ECA">
      <w:pPr>
        <w:pStyle w:val="Rubrik2"/>
        <w:rPr>
          <w:rFonts w:eastAsia="Calibri" w:cs="Times New Roman"/>
          <w:b w:val="0"/>
          <w:color w:val="000000" w:themeColor="text1"/>
          <w:szCs w:val="24"/>
        </w:rPr>
      </w:pPr>
    </w:p>
    <w:p w:rsidR="0044167F" w:rsidRDefault="0044167F" w:rsidP="0044167F">
      <w:pPr>
        <w:pStyle w:val="Rubrik2"/>
        <w:ind w:left="0"/>
        <w:rPr>
          <w:rFonts w:eastAsia="Calibri" w:cs="Times New Roman"/>
          <w:color w:val="000000" w:themeColor="text1"/>
          <w:szCs w:val="24"/>
        </w:rPr>
      </w:pPr>
      <w:bookmarkStart w:id="7" w:name="_Toc14031350"/>
      <w:r>
        <w:rPr>
          <w:rFonts w:eastAsia="Calibri" w:cs="Times New Roman"/>
          <w:color w:val="000000" w:themeColor="text1"/>
          <w:szCs w:val="24"/>
        </w:rPr>
        <w:br/>
      </w:r>
    </w:p>
    <w:p w:rsidR="0044167F" w:rsidRDefault="0044167F" w:rsidP="0044167F">
      <w:pPr>
        <w:rPr>
          <w:rFonts w:eastAsia="Calibri"/>
        </w:rPr>
      </w:pPr>
      <w:r>
        <w:rPr>
          <w:rFonts w:eastAsia="Calibri"/>
        </w:rPr>
        <w:br w:type="page"/>
      </w:r>
    </w:p>
    <w:p w:rsidR="002D3ECA" w:rsidRPr="008D1BDF" w:rsidRDefault="002D3ECA" w:rsidP="0044167F">
      <w:pPr>
        <w:pStyle w:val="Rubrik2"/>
        <w:ind w:left="0"/>
        <w:rPr>
          <w:rFonts w:eastAsia="Calibri" w:cs="Times New Roman"/>
          <w:b w:val="0"/>
          <w:color w:val="000000" w:themeColor="text1"/>
          <w:szCs w:val="24"/>
        </w:rPr>
      </w:pPr>
      <w:r w:rsidRPr="008D1BDF">
        <w:rPr>
          <w:rFonts w:eastAsia="Calibri" w:cs="Times New Roman"/>
          <w:color w:val="000000" w:themeColor="text1"/>
          <w:szCs w:val="24"/>
        </w:rPr>
        <w:t>Laboratorieanalyser inför operation</w:t>
      </w:r>
      <w:bookmarkEnd w:id="7"/>
      <w:r w:rsidRPr="008D1BDF">
        <w:rPr>
          <w:rFonts w:eastAsia="Calibri" w:cs="Times New Roman"/>
          <w:color w:val="000000" w:themeColor="text1"/>
          <w:szCs w:val="24"/>
        </w:rPr>
        <w:t xml:space="preserve"> </w:t>
      </w:r>
    </w:p>
    <w:p w:rsidR="002D3ECA" w:rsidRDefault="002D3ECA" w:rsidP="002D3ECA">
      <w:pPr>
        <w:pStyle w:val="Default"/>
        <w:spacing w:line="276" w:lineRule="auto"/>
        <w:rPr>
          <w:b/>
          <w:color w:val="auto"/>
        </w:rPr>
      </w:pPr>
    </w:p>
    <w:tbl>
      <w:tblPr>
        <w:tblStyle w:val="Tabellrutnt"/>
        <w:tblW w:w="0" w:type="auto"/>
        <w:tblLook w:val="04A0" w:firstRow="1" w:lastRow="0" w:firstColumn="1" w:lastColumn="0" w:noHBand="0" w:noVBand="1"/>
      </w:tblPr>
      <w:tblGrid>
        <w:gridCol w:w="1984"/>
        <w:gridCol w:w="7072"/>
      </w:tblGrid>
      <w:tr w:rsidR="002D3ECA" w:rsidRPr="00905597" w:rsidTr="000E30AE">
        <w:tc>
          <w:tcPr>
            <w:tcW w:w="1984" w:type="dxa"/>
          </w:tcPr>
          <w:p w:rsidR="002D3ECA" w:rsidRPr="00905597" w:rsidRDefault="002D3ECA" w:rsidP="000E30AE">
            <w:pPr>
              <w:pStyle w:val="Default"/>
              <w:spacing w:line="276" w:lineRule="auto"/>
              <w:rPr>
                <w:b/>
              </w:rPr>
            </w:pPr>
            <w:r w:rsidRPr="00905597">
              <w:rPr>
                <w:b/>
              </w:rPr>
              <w:t>Blodstatus</w:t>
            </w:r>
          </w:p>
        </w:tc>
        <w:tc>
          <w:tcPr>
            <w:tcW w:w="7072" w:type="dxa"/>
          </w:tcPr>
          <w:p w:rsidR="002D3ECA" w:rsidRPr="00905597" w:rsidRDefault="002D3ECA" w:rsidP="002D3ECA">
            <w:pPr>
              <w:pStyle w:val="Default"/>
              <w:numPr>
                <w:ilvl w:val="0"/>
                <w:numId w:val="2"/>
              </w:numPr>
              <w:spacing w:line="276" w:lineRule="auto"/>
            </w:pPr>
            <w:r w:rsidRPr="00905597">
              <w:t>Alla patienter</w:t>
            </w:r>
          </w:p>
        </w:tc>
      </w:tr>
      <w:tr w:rsidR="002D3ECA" w:rsidRPr="00905597" w:rsidTr="000E30AE">
        <w:tc>
          <w:tcPr>
            <w:tcW w:w="1984" w:type="dxa"/>
          </w:tcPr>
          <w:p w:rsidR="002D3ECA" w:rsidRPr="00905597" w:rsidRDefault="002D3ECA" w:rsidP="000E30AE">
            <w:pPr>
              <w:pStyle w:val="Default"/>
              <w:spacing w:line="276" w:lineRule="auto"/>
              <w:rPr>
                <w:b/>
              </w:rPr>
            </w:pPr>
            <w:r w:rsidRPr="00905597">
              <w:rPr>
                <w:b/>
              </w:rPr>
              <w:t>Elektrolytstatus</w:t>
            </w:r>
          </w:p>
          <w:p w:rsidR="002D3ECA" w:rsidRPr="00905597" w:rsidRDefault="002D3ECA" w:rsidP="000E30AE">
            <w:pPr>
              <w:pStyle w:val="Default"/>
              <w:spacing w:line="276" w:lineRule="auto"/>
              <w:rPr>
                <w:lang w:val="en-GB"/>
              </w:rPr>
            </w:pPr>
            <w:r w:rsidRPr="00905597">
              <w:rPr>
                <w:lang w:val="en-GB"/>
              </w:rPr>
              <w:t>(s-Na, s-K, s-kreatinin, s-albumin</w:t>
            </w:r>
          </w:p>
        </w:tc>
        <w:tc>
          <w:tcPr>
            <w:tcW w:w="7072" w:type="dxa"/>
          </w:tcPr>
          <w:p w:rsidR="002D3ECA" w:rsidRPr="00905597" w:rsidRDefault="002D3ECA" w:rsidP="002D3ECA">
            <w:pPr>
              <w:pStyle w:val="Default"/>
              <w:numPr>
                <w:ilvl w:val="0"/>
                <w:numId w:val="4"/>
              </w:numPr>
              <w:spacing w:line="276" w:lineRule="auto"/>
              <w:rPr>
                <w:b/>
              </w:rPr>
            </w:pPr>
            <w:r w:rsidRPr="00905597">
              <w:t>ASA-klass 3+4</w:t>
            </w:r>
          </w:p>
          <w:p w:rsidR="002D3ECA" w:rsidRPr="00905597" w:rsidRDefault="002D3ECA" w:rsidP="002D3ECA">
            <w:pPr>
              <w:pStyle w:val="Default"/>
              <w:numPr>
                <w:ilvl w:val="0"/>
                <w:numId w:val="4"/>
              </w:numPr>
              <w:spacing w:line="276" w:lineRule="auto"/>
              <w:rPr>
                <w:b/>
                <w:lang w:val="en-GB"/>
              </w:rPr>
            </w:pPr>
            <w:r w:rsidRPr="00905597">
              <w:t>Ålder &gt;60 år</w:t>
            </w:r>
          </w:p>
          <w:p w:rsidR="002D3ECA" w:rsidRPr="00905597" w:rsidRDefault="002D3ECA" w:rsidP="002D3ECA">
            <w:pPr>
              <w:pStyle w:val="Default"/>
              <w:numPr>
                <w:ilvl w:val="0"/>
                <w:numId w:val="4"/>
              </w:numPr>
              <w:spacing w:line="276" w:lineRule="auto"/>
              <w:rPr>
                <w:b/>
                <w:lang w:val="en-GB"/>
              </w:rPr>
            </w:pPr>
            <w:r w:rsidRPr="00905597">
              <w:t>Hjärt-kärlsjukdom, njursjukdom, diabetes mellitus</w:t>
            </w:r>
          </w:p>
          <w:p w:rsidR="002D3ECA" w:rsidRPr="00905597" w:rsidRDefault="002D3ECA" w:rsidP="002D3ECA">
            <w:pPr>
              <w:pStyle w:val="Default"/>
              <w:numPr>
                <w:ilvl w:val="0"/>
                <w:numId w:val="4"/>
              </w:numPr>
              <w:spacing w:line="276" w:lineRule="auto"/>
              <w:rPr>
                <w:b/>
              </w:rPr>
            </w:pPr>
            <w:r w:rsidRPr="00905597">
              <w:t>Behandling med diuretika, steroider och nefrotoxiska läkemedel</w:t>
            </w:r>
          </w:p>
          <w:p w:rsidR="002D3ECA" w:rsidRPr="00905597" w:rsidRDefault="002D3ECA" w:rsidP="002D3ECA">
            <w:pPr>
              <w:pStyle w:val="Default"/>
              <w:numPr>
                <w:ilvl w:val="0"/>
                <w:numId w:val="4"/>
              </w:numPr>
              <w:spacing w:line="276" w:lineRule="auto"/>
              <w:rPr>
                <w:b/>
              </w:rPr>
            </w:pPr>
            <w:r w:rsidRPr="00905597">
              <w:t>Patienter med nyligen stora vätskeförluster t.ex. blödningar, kräkningar, diarréer</w:t>
            </w:r>
          </w:p>
          <w:p w:rsidR="002D3ECA" w:rsidRPr="00905597" w:rsidRDefault="002D3ECA" w:rsidP="002D3ECA">
            <w:pPr>
              <w:pStyle w:val="Default"/>
              <w:numPr>
                <w:ilvl w:val="0"/>
                <w:numId w:val="4"/>
              </w:numPr>
              <w:spacing w:line="276" w:lineRule="auto"/>
              <w:rPr>
                <w:b/>
              </w:rPr>
            </w:pPr>
            <w:r w:rsidRPr="00905597">
              <w:t>Infektionssjukdom med allmänpåverkan</w:t>
            </w:r>
          </w:p>
          <w:p w:rsidR="002D3ECA" w:rsidRPr="00905597" w:rsidRDefault="002D3ECA" w:rsidP="002D3ECA">
            <w:pPr>
              <w:pStyle w:val="Default"/>
              <w:numPr>
                <w:ilvl w:val="0"/>
                <w:numId w:val="4"/>
              </w:numPr>
              <w:spacing w:line="276" w:lineRule="auto"/>
              <w:rPr>
                <w:b/>
              </w:rPr>
            </w:pPr>
            <w:r w:rsidRPr="00905597">
              <w:t>Akuta buksymptom</w:t>
            </w:r>
          </w:p>
          <w:p w:rsidR="002D3ECA" w:rsidRPr="00905597" w:rsidRDefault="002D3ECA" w:rsidP="002D3ECA">
            <w:pPr>
              <w:pStyle w:val="Default"/>
              <w:numPr>
                <w:ilvl w:val="0"/>
                <w:numId w:val="4"/>
              </w:numPr>
              <w:spacing w:line="276" w:lineRule="auto"/>
              <w:rPr>
                <w:b/>
              </w:rPr>
            </w:pPr>
            <w:r w:rsidRPr="00905597">
              <w:t>Malnutrition</w:t>
            </w:r>
            <w:r w:rsidRPr="00905597">
              <w:rPr>
                <w:b/>
              </w:rPr>
              <w:t xml:space="preserve"> </w:t>
            </w:r>
          </w:p>
        </w:tc>
      </w:tr>
      <w:tr w:rsidR="002D3ECA" w:rsidRPr="00905597" w:rsidTr="000E30AE">
        <w:tc>
          <w:tcPr>
            <w:tcW w:w="1984" w:type="dxa"/>
          </w:tcPr>
          <w:p w:rsidR="002D3ECA" w:rsidRPr="00905597" w:rsidRDefault="002D3ECA" w:rsidP="000E30AE">
            <w:pPr>
              <w:pStyle w:val="Default"/>
              <w:spacing w:line="276" w:lineRule="auto"/>
              <w:rPr>
                <w:b/>
              </w:rPr>
            </w:pPr>
            <w:r w:rsidRPr="00905597">
              <w:rPr>
                <w:b/>
              </w:rPr>
              <w:t>P-glukos</w:t>
            </w:r>
          </w:p>
        </w:tc>
        <w:tc>
          <w:tcPr>
            <w:tcW w:w="7072" w:type="dxa"/>
          </w:tcPr>
          <w:p w:rsidR="002D3ECA" w:rsidRPr="00905597" w:rsidRDefault="002D3ECA" w:rsidP="002D3ECA">
            <w:pPr>
              <w:pStyle w:val="Default"/>
              <w:numPr>
                <w:ilvl w:val="0"/>
                <w:numId w:val="5"/>
              </w:numPr>
              <w:spacing w:line="276" w:lineRule="auto"/>
            </w:pPr>
            <w:r w:rsidRPr="00905597">
              <w:t xml:space="preserve">Diabetes, pankreassjukdom, endokrin sjukdom och   </w:t>
            </w:r>
          </w:p>
          <w:p w:rsidR="002D3ECA" w:rsidRPr="00905597" w:rsidRDefault="002D3ECA" w:rsidP="000E30AE">
            <w:pPr>
              <w:pStyle w:val="Default"/>
              <w:spacing w:line="276" w:lineRule="auto"/>
            </w:pPr>
            <w:r>
              <w:t xml:space="preserve">      </w:t>
            </w:r>
            <w:r w:rsidRPr="00905597">
              <w:t>steroidbehandling</w:t>
            </w:r>
          </w:p>
          <w:p w:rsidR="002D3ECA" w:rsidRPr="00905597" w:rsidRDefault="002D3ECA" w:rsidP="002D3ECA">
            <w:pPr>
              <w:pStyle w:val="Default"/>
              <w:numPr>
                <w:ilvl w:val="0"/>
                <w:numId w:val="5"/>
              </w:numPr>
              <w:spacing w:line="276" w:lineRule="auto"/>
            </w:pPr>
            <w:r w:rsidRPr="00905597">
              <w:t>Misstänkt överkonsumtion av alkohol</w:t>
            </w:r>
          </w:p>
        </w:tc>
      </w:tr>
      <w:tr w:rsidR="002D3ECA" w:rsidRPr="00905597" w:rsidTr="000E30AE">
        <w:tc>
          <w:tcPr>
            <w:tcW w:w="1984" w:type="dxa"/>
          </w:tcPr>
          <w:p w:rsidR="002D3ECA" w:rsidRPr="00905597" w:rsidRDefault="002D3ECA" w:rsidP="000E30AE">
            <w:pPr>
              <w:pStyle w:val="Default"/>
              <w:spacing w:line="276" w:lineRule="auto"/>
              <w:rPr>
                <w:b/>
              </w:rPr>
            </w:pPr>
            <w:r w:rsidRPr="00905597">
              <w:rPr>
                <w:b/>
              </w:rPr>
              <w:t>P-PK-INR, APTT</w:t>
            </w:r>
          </w:p>
        </w:tc>
        <w:tc>
          <w:tcPr>
            <w:tcW w:w="7072" w:type="dxa"/>
          </w:tcPr>
          <w:p w:rsidR="002D3ECA" w:rsidRPr="00905597" w:rsidRDefault="002D3ECA" w:rsidP="002D3ECA">
            <w:pPr>
              <w:pStyle w:val="Default"/>
              <w:numPr>
                <w:ilvl w:val="0"/>
                <w:numId w:val="5"/>
              </w:numPr>
              <w:spacing w:line="276" w:lineRule="auto"/>
            </w:pPr>
            <w:r w:rsidRPr="00905597">
              <w:t>Leversjukdom, malabsorption, malnutrition, blödningstendens, hereditet för blödarsjuka, antikoagulantiaterapi, spridd malignitet, alkoholism, kronisk pankreatit</w:t>
            </w:r>
          </w:p>
          <w:p w:rsidR="002D3ECA" w:rsidRPr="00905597" w:rsidRDefault="002D3ECA" w:rsidP="002D3ECA">
            <w:pPr>
              <w:pStyle w:val="Default"/>
              <w:numPr>
                <w:ilvl w:val="0"/>
                <w:numId w:val="5"/>
              </w:numPr>
              <w:spacing w:line="276" w:lineRule="auto"/>
            </w:pPr>
            <w:r w:rsidRPr="00905597">
              <w:t>Multisjuk patient inför spinal/epiduralanestesi</w:t>
            </w:r>
          </w:p>
        </w:tc>
      </w:tr>
      <w:tr w:rsidR="002D3ECA" w:rsidRPr="00905597" w:rsidTr="000E30AE">
        <w:tc>
          <w:tcPr>
            <w:tcW w:w="1984" w:type="dxa"/>
          </w:tcPr>
          <w:p w:rsidR="002D3ECA" w:rsidRPr="00905597" w:rsidRDefault="002D3ECA" w:rsidP="000E30AE">
            <w:pPr>
              <w:pStyle w:val="Default"/>
              <w:spacing w:line="276" w:lineRule="auto"/>
            </w:pPr>
            <w:r w:rsidRPr="00905597">
              <w:rPr>
                <w:b/>
              </w:rPr>
              <w:t xml:space="preserve">Leverstatus </w:t>
            </w:r>
            <w:r w:rsidRPr="00905597">
              <w:t>(ALAT, ASAT, ALP, bilirubin)</w:t>
            </w:r>
          </w:p>
        </w:tc>
        <w:tc>
          <w:tcPr>
            <w:tcW w:w="7072" w:type="dxa"/>
          </w:tcPr>
          <w:p w:rsidR="002D3ECA" w:rsidRPr="00905597" w:rsidRDefault="002D3ECA" w:rsidP="002D3ECA">
            <w:pPr>
              <w:pStyle w:val="Default"/>
              <w:numPr>
                <w:ilvl w:val="0"/>
                <w:numId w:val="6"/>
              </w:numPr>
              <w:spacing w:line="276" w:lineRule="auto"/>
            </w:pPr>
            <w:r w:rsidRPr="00905597">
              <w:t xml:space="preserve">Leversjukdom, gallvägsstas, malabsorption, malnutrition, blödningstendens, hereditet för blödarsjuka, antikoagulantiaterapi, spridd malignitet, alkoholism, kronisk pankreatit </w:t>
            </w:r>
          </w:p>
        </w:tc>
      </w:tr>
    </w:tbl>
    <w:p w:rsidR="002D3ECA" w:rsidRDefault="002D3ECA" w:rsidP="002D3ECA">
      <w:pPr>
        <w:pStyle w:val="Default"/>
        <w:spacing w:line="276" w:lineRule="auto"/>
        <w:rPr>
          <w:color w:val="auto"/>
        </w:rPr>
      </w:pPr>
    </w:p>
    <w:p w:rsidR="002D3ECA" w:rsidRPr="008D1BDF" w:rsidRDefault="002D3ECA" w:rsidP="0044167F">
      <w:pPr>
        <w:pStyle w:val="Rubrik2"/>
        <w:ind w:left="0"/>
        <w:rPr>
          <w:rFonts w:eastAsia="Calibri" w:cs="Times New Roman"/>
          <w:b w:val="0"/>
          <w:color w:val="000000" w:themeColor="text1"/>
          <w:szCs w:val="24"/>
        </w:rPr>
      </w:pPr>
      <w:bookmarkStart w:id="8" w:name="_Toc14031351"/>
      <w:r w:rsidRPr="008D1BDF">
        <w:rPr>
          <w:rFonts w:eastAsia="Calibri" w:cs="Times New Roman"/>
          <w:color w:val="000000" w:themeColor="text1"/>
          <w:szCs w:val="24"/>
        </w:rPr>
        <w:t>Blodtryck</w:t>
      </w:r>
      <w:bookmarkEnd w:id="8"/>
    </w:p>
    <w:p w:rsidR="002D3ECA" w:rsidRPr="00905597" w:rsidRDefault="002D3ECA" w:rsidP="002D3ECA">
      <w:pPr>
        <w:pStyle w:val="Default"/>
        <w:spacing w:line="276" w:lineRule="auto"/>
      </w:pPr>
      <w:r w:rsidRPr="00905597">
        <w:t xml:space="preserve">Blodtryck ska tas på i princip alla vuxna patienter; normalt ska blodtryck i vila ligga mellan 100–140 mmHg systoliskt och 60–90 mmHg diastoliskt. Vid behov bör remiss skickas till distriktsläkare för behandling/läkemedelsjustering innan operation.  </w:t>
      </w:r>
    </w:p>
    <w:p w:rsidR="002D3ECA" w:rsidRDefault="002D3ECA" w:rsidP="002D3ECA">
      <w:pPr>
        <w:pStyle w:val="Default"/>
        <w:spacing w:line="276" w:lineRule="auto"/>
      </w:pPr>
    </w:p>
    <w:p w:rsidR="002D3ECA" w:rsidRPr="00905597" w:rsidRDefault="002D3ECA" w:rsidP="002D3ECA">
      <w:pPr>
        <w:pStyle w:val="Default"/>
        <w:spacing w:line="276" w:lineRule="auto"/>
      </w:pPr>
      <w:r w:rsidRPr="00905597">
        <w:t xml:space="preserve">Usk/ssk tar blodtryck och dokumenterar värdet i TC. </w:t>
      </w:r>
    </w:p>
    <w:p w:rsidR="002D3ECA" w:rsidRDefault="002D3ECA" w:rsidP="002D3ECA">
      <w:pPr>
        <w:pStyle w:val="Default"/>
        <w:spacing w:line="276" w:lineRule="auto"/>
        <w:rPr>
          <w:color w:val="auto"/>
        </w:rPr>
      </w:pPr>
    </w:p>
    <w:p w:rsidR="002D3ECA" w:rsidRPr="008D1BDF" w:rsidRDefault="002D3ECA" w:rsidP="0044167F">
      <w:pPr>
        <w:pStyle w:val="Rubrik2"/>
        <w:ind w:left="0"/>
        <w:rPr>
          <w:rFonts w:eastAsia="Calibri" w:cs="Times New Roman"/>
          <w:b w:val="0"/>
          <w:color w:val="000000" w:themeColor="text1"/>
          <w:szCs w:val="24"/>
        </w:rPr>
      </w:pPr>
      <w:bookmarkStart w:id="9" w:name="_Toc14031352"/>
      <w:r w:rsidRPr="008D1BDF">
        <w:rPr>
          <w:rFonts w:eastAsia="Calibri" w:cs="Times New Roman"/>
          <w:color w:val="000000" w:themeColor="text1"/>
          <w:szCs w:val="24"/>
        </w:rPr>
        <w:t>Preoperativt EKG</w:t>
      </w:r>
      <w:bookmarkEnd w:id="9"/>
    </w:p>
    <w:p w:rsidR="002D3ECA" w:rsidRPr="00905597" w:rsidRDefault="002D3ECA" w:rsidP="002D3ECA">
      <w:pPr>
        <w:pStyle w:val="Default"/>
        <w:numPr>
          <w:ilvl w:val="0"/>
          <w:numId w:val="6"/>
        </w:numPr>
        <w:spacing w:line="276" w:lineRule="auto"/>
      </w:pPr>
      <w:r w:rsidRPr="00905597">
        <w:t>Alla patienter över 65 år</w:t>
      </w:r>
    </w:p>
    <w:p w:rsidR="002D3ECA" w:rsidRPr="00905597" w:rsidRDefault="002D3ECA" w:rsidP="002D3ECA">
      <w:pPr>
        <w:pStyle w:val="Default"/>
        <w:numPr>
          <w:ilvl w:val="0"/>
          <w:numId w:val="6"/>
        </w:numPr>
        <w:spacing w:line="276" w:lineRule="auto"/>
      </w:pPr>
      <w:r w:rsidRPr="00905597">
        <w:t xml:space="preserve">Då anamnes eller status ger misstanke om hjärt-/kärlsjukdom inkl. hypertoni </w:t>
      </w:r>
    </w:p>
    <w:p w:rsidR="002D3ECA" w:rsidRPr="00905597" w:rsidRDefault="002D3ECA" w:rsidP="002D3ECA">
      <w:pPr>
        <w:pStyle w:val="Default"/>
        <w:numPr>
          <w:ilvl w:val="0"/>
          <w:numId w:val="6"/>
        </w:numPr>
        <w:spacing w:line="276" w:lineRule="auto"/>
      </w:pPr>
      <w:r w:rsidRPr="00905597">
        <w:t xml:space="preserve">Vid systemsjukdom som kan förknippas med hjärtsjukdom, t.ex. amyloidos, hyperlipidemi, Down ́s syndrom m.fl. </w:t>
      </w:r>
    </w:p>
    <w:p w:rsidR="002D3ECA" w:rsidRPr="00905597" w:rsidRDefault="002D3ECA" w:rsidP="002D3ECA">
      <w:pPr>
        <w:pStyle w:val="Default"/>
        <w:numPr>
          <w:ilvl w:val="0"/>
          <w:numId w:val="6"/>
        </w:numPr>
        <w:spacing w:line="276" w:lineRule="auto"/>
      </w:pPr>
      <w:r w:rsidRPr="00905597">
        <w:t>Generösa indikationer för EKG på diabetespatienter äldre än 25 år</w:t>
      </w:r>
    </w:p>
    <w:p w:rsidR="002D3ECA" w:rsidRPr="00905597" w:rsidRDefault="002D3ECA" w:rsidP="002D3ECA">
      <w:pPr>
        <w:pStyle w:val="Default"/>
        <w:numPr>
          <w:ilvl w:val="0"/>
          <w:numId w:val="6"/>
        </w:numPr>
        <w:spacing w:line="276" w:lineRule="auto"/>
      </w:pPr>
      <w:r w:rsidRPr="00905597">
        <w:t xml:space="preserve">Patienter med sömapné-syndrom. </w:t>
      </w:r>
    </w:p>
    <w:p w:rsidR="002D3ECA" w:rsidRDefault="002D3ECA" w:rsidP="002D3ECA">
      <w:pPr>
        <w:pStyle w:val="Default"/>
        <w:spacing w:line="276" w:lineRule="auto"/>
      </w:pPr>
    </w:p>
    <w:p w:rsidR="002D3ECA" w:rsidRPr="00905597" w:rsidRDefault="002D3ECA" w:rsidP="002D3ECA">
      <w:pPr>
        <w:pStyle w:val="Default"/>
        <w:spacing w:line="276" w:lineRule="auto"/>
      </w:pPr>
      <w:r w:rsidRPr="00905597">
        <w:t>Usk/ssk tar EKG som bedöms av narkosläkare.</w:t>
      </w:r>
    </w:p>
    <w:p w:rsidR="002D3ECA" w:rsidRPr="00905597" w:rsidRDefault="002D3ECA" w:rsidP="002D3ECA">
      <w:pPr>
        <w:pStyle w:val="Default"/>
        <w:spacing w:line="276" w:lineRule="auto"/>
        <w:rPr>
          <w:color w:val="auto"/>
        </w:rPr>
      </w:pPr>
    </w:p>
    <w:p w:rsidR="002D3ECA" w:rsidRPr="008D1BDF" w:rsidRDefault="002D3ECA" w:rsidP="002D3ECA">
      <w:pPr>
        <w:pStyle w:val="Rubrik1"/>
        <w:rPr>
          <w:rFonts w:eastAsia="Calibri"/>
          <w:sz w:val="24"/>
          <w:szCs w:val="24"/>
        </w:rPr>
      </w:pPr>
      <w:bookmarkStart w:id="10" w:name="_Toc14031353"/>
      <w:r w:rsidRPr="008D1BDF">
        <w:rPr>
          <w:rFonts w:eastAsia="Calibri"/>
          <w:sz w:val="24"/>
          <w:szCs w:val="24"/>
        </w:rPr>
        <w:t>Antibiotikaprofylax</w:t>
      </w:r>
      <w:bookmarkEnd w:id="10"/>
    </w:p>
    <w:p w:rsidR="002D3ECA" w:rsidRPr="00905597" w:rsidRDefault="002D3ECA" w:rsidP="002D3ECA">
      <w:pPr>
        <w:pStyle w:val="Default"/>
        <w:spacing w:line="276" w:lineRule="auto"/>
      </w:pPr>
      <w:r w:rsidRPr="00905597">
        <w:t xml:space="preserve">Ordinera eventuell profylax enligt PM </w:t>
      </w:r>
      <w:r w:rsidRPr="00905597">
        <w:rPr>
          <w:i/>
        </w:rPr>
        <w:t>Antibiotikaprofylax vid benign gynekologisk kirurgi.</w:t>
      </w:r>
    </w:p>
    <w:p w:rsidR="002D3ECA" w:rsidRDefault="002D3ECA" w:rsidP="002D3ECA">
      <w:pPr>
        <w:pStyle w:val="Default"/>
        <w:spacing w:line="276" w:lineRule="auto"/>
        <w:rPr>
          <w:color w:val="auto"/>
        </w:rPr>
      </w:pPr>
    </w:p>
    <w:p w:rsidR="002D3ECA" w:rsidRPr="008D1BDF" w:rsidRDefault="002D3ECA" w:rsidP="002D3ECA">
      <w:pPr>
        <w:pStyle w:val="Rubrik1"/>
        <w:rPr>
          <w:rFonts w:eastAsia="Calibri"/>
          <w:sz w:val="24"/>
          <w:szCs w:val="24"/>
        </w:rPr>
      </w:pPr>
      <w:bookmarkStart w:id="11" w:name="_Toc14031354"/>
      <w:r w:rsidRPr="008D1BDF">
        <w:rPr>
          <w:rFonts w:eastAsia="Calibri"/>
          <w:sz w:val="24"/>
          <w:szCs w:val="24"/>
        </w:rPr>
        <w:t>Trombosprofylax och tillfällig utsättning av antikoagulantia och trombocythämning inför operation</w:t>
      </w:r>
      <w:bookmarkEnd w:id="11"/>
      <w:r w:rsidRPr="008D1BDF">
        <w:rPr>
          <w:rFonts w:eastAsia="Calibri"/>
          <w:sz w:val="24"/>
          <w:szCs w:val="24"/>
        </w:rPr>
        <w:t xml:space="preserve"> </w:t>
      </w:r>
    </w:p>
    <w:p w:rsidR="002D3ECA" w:rsidRPr="005A0609" w:rsidRDefault="002D3ECA" w:rsidP="002D3ECA">
      <w:pPr>
        <w:pStyle w:val="Default"/>
        <w:spacing w:line="276" w:lineRule="auto"/>
        <w:rPr>
          <w:i/>
        </w:rPr>
      </w:pPr>
      <w:r w:rsidRPr="005A0609">
        <w:t xml:space="preserve">Se PM </w:t>
      </w:r>
      <w:r w:rsidRPr="005A0609">
        <w:rPr>
          <w:i/>
        </w:rPr>
        <w:t xml:space="preserve">Trombosprofylax – antikoagulationsbehandling vid gynekologisk kirurgi </w:t>
      </w:r>
    </w:p>
    <w:p w:rsidR="002D3ECA" w:rsidRPr="005A0609" w:rsidRDefault="002D3ECA" w:rsidP="002D3ECA">
      <w:pPr>
        <w:pStyle w:val="Default"/>
        <w:spacing w:line="276" w:lineRule="auto"/>
      </w:pPr>
      <w:r w:rsidRPr="005A0609">
        <w:t xml:space="preserve">samt </w:t>
      </w:r>
    </w:p>
    <w:p w:rsidR="002D3ECA" w:rsidRPr="005A0609" w:rsidRDefault="002D3ECA" w:rsidP="002D3ECA">
      <w:pPr>
        <w:pStyle w:val="Default"/>
        <w:spacing w:line="276" w:lineRule="auto"/>
      </w:pPr>
      <w:r w:rsidRPr="005A0609">
        <w:t xml:space="preserve">riktlinjer från Svenska Sällskapet för Trombos och Hemostas (SSTH): </w:t>
      </w:r>
    </w:p>
    <w:p w:rsidR="002D3ECA" w:rsidRPr="005A0609" w:rsidRDefault="002D3ECA" w:rsidP="002D3ECA">
      <w:pPr>
        <w:pStyle w:val="Default"/>
        <w:numPr>
          <w:ilvl w:val="0"/>
          <w:numId w:val="7"/>
        </w:numPr>
        <w:spacing w:line="276" w:lineRule="auto"/>
      </w:pPr>
      <w:r w:rsidRPr="005A0609">
        <w:t xml:space="preserve">Kortversion Kliniska råd NOAK (DOAK): </w:t>
      </w:r>
      <w:hyperlink r:id="rId8" w:history="1">
        <w:r w:rsidRPr="005A0609">
          <w:rPr>
            <w:rStyle w:val="Hyperlnk"/>
          </w:rPr>
          <w:t>https://www.ssth.se/wp-content/uploads/2017/11/NOAK-17.pdf</w:t>
        </w:r>
      </w:hyperlink>
    </w:p>
    <w:p w:rsidR="002D3ECA" w:rsidRPr="005A0609" w:rsidRDefault="002D3ECA" w:rsidP="002D3ECA">
      <w:pPr>
        <w:pStyle w:val="Default"/>
        <w:numPr>
          <w:ilvl w:val="0"/>
          <w:numId w:val="7"/>
        </w:numPr>
        <w:spacing w:line="276" w:lineRule="auto"/>
      </w:pPr>
      <w:r w:rsidRPr="005A0609">
        <w:t xml:space="preserve">Kliniska råd vid kirurgi och blödning under behandling med perorala trombocythämmare: </w:t>
      </w:r>
      <w:hyperlink r:id="rId9" w:history="1">
        <w:r w:rsidRPr="005A0609">
          <w:rPr>
            <w:rStyle w:val="Hyperlnk"/>
          </w:rPr>
          <w:t>https://www.ssth.se/wp-content/uploads/2017/04/vptrombocyt151101.pdf</w:t>
        </w:r>
      </w:hyperlink>
    </w:p>
    <w:p w:rsidR="002D3ECA" w:rsidRPr="005A0609" w:rsidRDefault="002D3ECA" w:rsidP="002D3ECA">
      <w:pPr>
        <w:pStyle w:val="Default"/>
        <w:numPr>
          <w:ilvl w:val="0"/>
          <w:numId w:val="7"/>
        </w:numPr>
        <w:spacing w:line="276" w:lineRule="auto"/>
      </w:pPr>
      <w:r w:rsidRPr="005A0609">
        <w:t xml:space="preserve">Orala antitrombotiska läkemedel vid blödning och inför kirurgi (Stockholms läns landsting: </w:t>
      </w:r>
      <w:hyperlink r:id="rId10" w:history="1">
        <w:r w:rsidRPr="005A0609">
          <w:rPr>
            <w:rStyle w:val="Hyperlnk"/>
          </w:rPr>
          <w:t>https://www.janusinfo.se/download/18.710ed317161746d8052e59a/1535626583999/Orala-antitrombotiska-lakemedel-vid-blodning-och-infor-kirurgi-A5-2017.pdf</w:t>
        </w:r>
      </w:hyperlink>
    </w:p>
    <w:p w:rsidR="002D3ECA" w:rsidRPr="005A0609" w:rsidRDefault="002D3ECA" w:rsidP="002D3ECA">
      <w:pPr>
        <w:pStyle w:val="Default"/>
        <w:spacing w:line="276" w:lineRule="auto"/>
      </w:pPr>
    </w:p>
    <w:p w:rsidR="002D3ECA" w:rsidRPr="005A0609" w:rsidRDefault="002D3ECA" w:rsidP="002D3ECA">
      <w:pPr>
        <w:pStyle w:val="Default"/>
        <w:spacing w:line="276" w:lineRule="auto"/>
      </w:pPr>
      <w:r w:rsidRPr="005A0609">
        <w:t xml:space="preserve">Vid osäkerhet eller komplicerade fall ska remiss skickas till antikoagulationsmottagningen alternativt kan antikoagulationsjouren nås på tel nummer: 0704507649. Kvinnor med koagulationsrubbning, t.ex. von Willebrands sjukdom, trombocytopeni eller trombocytopatier samt njurinsufficiens eller leverinsufficiens ska alltid skötas i samråd med koagulationsexpert. </w:t>
      </w:r>
    </w:p>
    <w:p w:rsidR="002D3ECA" w:rsidRPr="005A0609" w:rsidRDefault="002D3ECA" w:rsidP="002D3ECA">
      <w:pPr>
        <w:pStyle w:val="Default"/>
        <w:spacing w:line="276" w:lineRule="auto"/>
      </w:pPr>
    </w:p>
    <w:p w:rsidR="002D3ECA" w:rsidRPr="005A0609" w:rsidRDefault="002D3ECA" w:rsidP="002D3ECA">
      <w:pPr>
        <w:pStyle w:val="Default"/>
        <w:spacing w:line="276" w:lineRule="auto"/>
      </w:pPr>
      <w:r w:rsidRPr="005A0609">
        <w:t xml:space="preserve">Observera att särskilda överväganden måste göras om patienten behandlas med antikoagulantia p.g.a. kärlstent och att då även kardiologkonsult kan behövas. </w:t>
      </w:r>
    </w:p>
    <w:p w:rsidR="002D3ECA" w:rsidRDefault="002D3ECA" w:rsidP="002D3ECA">
      <w:pPr>
        <w:pStyle w:val="Default"/>
        <w:spacing w:line="276" w:lineRule="auto"/>
        <w:rPr>
          <w:color w:val="auto"/>
        </w:rPr>
      </w:pPr>
    </w:p>
    <w:p w:rsidR="002D3ECA" w:rsidRPr="008D1BDF" w:rsidRDefault="002D3ECA" w:rsidP="002D3ECA">
      <w:pPr>
        <w:pStyle w:val="Rubrik1"/>
        <w:rPr>
          <w:rFonts w:eastAsia="Calibri"/>
          <w:sz w:val="24"/>
          <w:szCs w:val="24"/>
        </w:rPr>
      </w:pPr>
      <w:bookmarkStart w:id="12" w:name="_Toc14031355"/>
      <w:r w:rsidRPr="008D1BDF">
        <w:rPr>
          <w:rFonts w:eastAsia="Calibri"/>
          <w:sz w:val="24"/>
          <w:szCs w:val="24"/>
        </w:rPr>
        <w:t>Rökinformation/rökstopp inför operation</w:t>
      </w:r>
      <w:bookmarkEnd w:id="12"/>
      <w:r w:rsidRPr="008D1BDF">
        <w:rPr>
          <w:rFonts w:eastAsia="Calibri"/>
          <w:sz w:val="24"/>
          <w:szCs w:val="24"/>
        </w:rPr>
        <w:t xml:space="preserve"> </w:t>
      </w:r>
    </w:p>
    <w:p w:rsidR="002D3ECA" w:rsidRPr="00533E6C" w:rsidRDefault="002D3ECA" w:rsidP="002D3ECA">
      <w:pPr>
        <w:pStyle w:val="Default"/>
        <w:spacing w:line="276" w:lineRule="auto"/>
      </w:pPr>
      <w:r w:rsidRPr="00533E6C">
        <w:t xml:space="preserve">Personer som röker, och som ska genomgå en operation, har en ökad risk att drabbas av komplikationer i samband med operationen, huvudsakligen i form av försämrad sårläkning men också i form av lung- och hjärt-kärlkomplikationer. Detta gäller även efter mindre rutiningrepp. Ett rökstopp i samband med operation minskar postoperativa komplikationer med cirka 50 %. Rökstopp fyra veckor före och sex veckor efter operationen rekommenderas. </w:t>
      </w:r>
    </w:p>
    <w:p w:rsidR="002D3ECA" w:rsidRPr="008D1BDF" w:rsidRDefault="002D3ECA" w:rsidP="002D3ECA">
      <w:pPr>
        <w:pStyle w:val="Rubrik1"/>
        <w:rPr>
          <w:sz w:val="24"/>
          <w:szCs w:val="24"/>
        </w:rPr>
      </w:pPr>
      <w:r>
        <w:br/>
      </w:r>
      <w:bookmarkStart w:id="13" w:name="_Toc14031356"/>
      <w:r w:rsidRPr="008D1BDF">
        <w:rPr>
          <w:sz w:val="24"/>
          <w:szCs w:val="24"/>
        </w:rPr>
        <w:t>Referenser</w:t>
      </w:r>
      <w:bookmarkEnd w:id="13"/>
    </w:p>
    <w:sdt>
      <w:sdtPr>
        <w:rPr>
          <w:rFonts w:asciiTheme="minorHAnsi" w:eastAsiaTheme="minorHAnsi" w:hAnsiTheme="minorHAnsi" w:cstheme="minorBidi"/>
          <w:lang w:eastAsia="en-US"/>
        </w:rPr>
        <w:id w:val="662431998"/>
        <w:text w:multiLine="1"/>
      </w:sdtPr>
      <w:sdtEndPr/>
      <w:sdtContent>
        <w:p w:rsidR="002D3ECA" w:rsidRDefault="002D3ECA" w:rsidP="002D3ECA">
          <w:r w:rsidRPr="00153A70">
            <w:rPr>
              <w:rFonts w:asciiTheme="minorHAnsi" w:eastAsiaTheme="minorHAnsi" w:hAnsiTheme="minorHAnsi" w:cstheme="minorBidi"/>
              <w:lang w:eastAsia="en-US"/>
            </w:rPr>
            <w:t>1. https://sfai.se/wp-content/uploads/2015/02/ASA-klassifikation-på-svenska-151101.pdf</w:t>
          </w:r>
          <w:r w:rsidRPr="00153A70">
            <w:rPr>
              <w:rFonts w:asciiTheme="minorHAnsi" w:eastAsiaTheme="minorHAnsi" w:hAnsiTheme="minorHAnsi" w:cstheme="minorBidi"/>
              <w:lang w:eastAsia="en-US"/>
            </w:rPr>
            <w:br/>
            <w:t>2. Preoperativa rutiner. SBU, 1989</w:t>
          </w:r>
          <w:r w:rsidRPr="00153A70">
            <w:rPr>
              <w:rFonts w:asciiTheme="minorHAnsi" w:eastAsiaTheme="minorHAnsi" w:hAnsiTheme="minorHAnsi" w:cstheme="minorBidi"/>
              <w:lang w:eastAsia="en-US"/>
            </w:rPr>
            <w:br/>
            <w:t>3. Svenska sällskapet för Trombos och Hemostas, https://www.ssth.se</w:t>
          </w:r>
          <w:r w:rsidRPr="00153A70">
            <w:rPr>
              <w:rFonts w:asciiTheme="minorHAnsi" w:eastAsiaTheme="minorHAnsi" w:hAnsiTheme="minorHAnsi" w:cstheme="minorBidi"/>
              <w:lang w:eastAsia="en-US"/>
            </w:rPr>
            <w:br/>
            <w:t>4. Rökstopp inför operation minskar risk för komplikationer, Läkartidningen. 2014;111: CW4P</w:t>
          </w:r>
          <w:r w:rsidRPr="00153A70">
            <w:rPr>
              <w:rFonts w:asciiTheme="minorHAnsi" w:eastAsiaTheme="minorHAnsi" w:hAnsiTheme="minorHAnsi" w:cstheme="minorBidi"/>
              <w:lang w:eastAsia="en-US"/>
            </w:rPr>
            <w:br/>
          </w:r>
        </w:p>
      </w:sdtContent>
    </w:sdt>
    <w:p w:rsidR="002D3ECA" w:rsidRDefault="002D3ECA" w:rsidP="002D3ECA">
      <w:pPr>
        <w:widowControl/>
        <w:rPr>
          <w:i/>
        </w:rPr>
      </w:pPr>
    </w:p>
    <w:p w:rsidR="002D3ECA" w:rsidRDefault="002D3ECA" w:rsidP="002D3ECA">
      <w:pPr>
        <w:widowControl/>
        <w:rPr>
          <w:b/>
          <w:sz w:val="28"/>
          <w:szCs w:val="28"/>
        </w:rPr>
      </w:pPr>
      <w:r>
        <w:rPr>
          <w:b/>
          <w:sz w:val="28"/>
          <w:szCs w:val="28"/>
        </w:rPr>
        <w:t>Versions</w:t>
      </w:r>
      <w:r w:rsidRPr="0073674B">
        <w:rPr>
          <w:b/>
          <w:sz w:val="28"/>
          <w:szCs w:val="28"/>
        </w:rPr>
        <w:t>historik</w:t>
      </w:r>
    </w:p>
    <w:p w:rsidR="002D3ECA" w:rsidRDefault="002D3ECA" w:rsidP="002D3ECA">
      <w:pPr>
        <w:widowControl/>
      </w:pPr>
    </w:p>
    <w:tbl>
      <w:tblPr>
        <w:tblStyle w:val="Tabellrutnt"/>
        <w:tblW w:w="0" w:type="auto"/>
        <w:tblLook w:val="0020" w:firstRow="1" w:lastRow="0" w:firstColumn="0" w:lastColumn="0" w:noHBand="0" w:noVBand="0"/>
      </w:tblPr>
      <w:tblGrid>
        <w:gridCol w:w="1242"/>
        <w:gridCol w:w="1418"/>
        <w:gridCol w:w="4248"/>
        <w:gridCol w:w="2303"/>
      </w:tblGrid>
      <w:tr w:rsidR="002D3ECA" w:rsidRPr="0073674B" w:rsidTr="000E30AE">
        <w:tc>
          <w:tcPr>
            <w:tcW w:w="1242" w:type="dxa"/>
            <w:shd w:val="clear" w:color="auto" w:fill="D9D9D9" w:themeFill="background1" w:themeFillShade="D9"/>
          </w:tcPr>
          <w:p w:rsidR="002D3ECA" w:rsidRPr="0073674B" w:rsidRDefault="002D3ECA" w:rsidP="000E30AE">
            <w:pPr>
              <w:spacing w:before="120" w:after="120"/>
              <w:rPr>
                <w:b/>
                <w:bCs/>
              </w:rPr>
            </w:pPr>
            <w:r w:rsidRPr="0073674B">
              <w:rPr>
                <w:b/>
                <w:bCs/>
              </w:rPr>
              <w:t>Version</w:t>
            </w:r>
          </w:p>
        </w:tc>
        <w:tc>
          <w:tcPr>
            <w:tcW w:w="1418" w:type="dxa"/>
            <w:shd w:val="clear" w:color="auto" w:fill="D9D9D9" w:themeFill="background1" w:themeFillShade="D9"/>
          </w:tcPr>
          <w:p w:rsidR="002D3ECA" w:rsidRPr="0073674B" w:rsidRDefault="002D3ECA" w:rsidP="000E30AE">
            <w:pPr>
              <w:spacing w:before="120" w:after="120"/>
              <w:rPr>
                <w:b/>
                <w:bCs/>
              </w:rPr>
            </w:pPr>
            <w:r w:rsidRPr="0073674B">
              <w:rPr>
                <w:b/>
                <w:bCs/>
              </w:rPr>
              <w:t>Datum</w:t>
            </w:r>
          </w:p>
        </w:tc>
        <w:tc>
          <w:tcPr>
            <w:tcW w:w="4248" w:type="dxa"/>
            <w:shd w:val="clear" w:color="auto" w:fill="D9D9D9" w:themeFill="background1" w:themeFillShade="D9"/>
          </w:tcPr>
          <w:p w:rsidR="002D3ECA" w:rsidRPr="0073674B" w:rsidRDefault="002D3ECA" w:rsidP="000E30AE">
            <w:pPr>
              <w:spacing w:before="120" w:after="120"/>
              <w:rPr>
                <w:b/>
                <w:bCs/>
              </w:rPr>
            </w:pPr>
            <w:r w:rsidRPr="0073674B">
              <w:rPr>
                <w:b/>
                <w:bCs/>
              </w:rPr>
              <w:t>Förändring och kommentar</w:t>
            </w:r>
          </w:p>
        </w:tc>
        <w:tc>
          <w:tcPr>
            <w:tcW w:w="2303" w:type="dxa"/>
            <w:shd w:val="clear" w:color="auto" w:fill="D9D9D9" w:themeFill="background1" w:themeFillShade="D9"/>
          </w:tcPr>
          <w:p w:rsidR="002D3ECA" w:rsidRPr="0073674B" w:rsidRDefault="002D3ECA" w:rsidP="000E30AE">
            <w:pPr>
              <w:spacing w:before="120" w:after="120"/>
              <w:rPr>
                <w:b/>
                <w:bCs/>
              </w:rPr>
            </w:pPr>
            <w:r w:rsidRPr="0073674B">
              <w:rPr>
                <w:b/>
                <w:bCs/>
              </w:rPr>
              <w:t>Ansvarig</w:t>
            </w:r>
          </w:p>
        </w:tc>
      </w:tr>
      <w:tr w:rsidR="002D3ECA" w:rsidRPr="0073674B" w:rsidTr="000E30AE">
        <w:tc>
          <w:tcPr>
            <w:tcW w:w="1242" w:type="dxa"/>
          </w:tcPr>
          <w:p w:rsidR="002D3ECA" w:rsidRPr="0073674B" w:rsidRDefault="002D3ECA" w:rsidP="000E30AE">
            <w:r>
              <w:t>1</w:t>
            </w:r>
          </w:p>
        </w:tc>
        <w:tc>
          <w:tcPr>
            <w:tcW w:w="1418" w:type="dxa"/>
          </w:tcPr>
          <w:p w:rsidR="002D3ECA" w:rsidRPr="0073674B" w:rsidRDefault="0044167F" w:rsidP="000E30AE">
            <w:r>
              <w:t>2019-07-17</w:t>
            </w:r>
          </w:p>
        </w:tc>
        <w:tc>
          <w:tcPr>
            <w:tcW w:w="4248" w:type="dxa"/>
          </w:tcPr>
          <w:p w:rsidR="002D3ECA" w:rsidRPr="0073674B" w:rsidRDefault="002D3ECA" w:rsidP="000E30AE">
            <w:r>
              <w:t>Ny riktlinje</w:t>
            </w:r>
          </w:p>
        </w:tc>
        <w:tc>
          <w:tcPr>
            <w:tcW w:w="2303" w:type="dxa"/>
          </w:tcPr>
          <w:p w:rsidR="002D3ECA" w:rsidRPr="0073674B" w:rsidRDefault="002D3ECA" w:rsidP="000E30AE">
            <w:r>
              <w:t>Tekla Lind</w:t>
            </w:r>
          </w:p>
        </w:tc>
      </w:tr>
      <w:tr w:rsidR="0044167F" w:rsidRPr="0073674B" w:rsidTr="000E30AE">
        <w:tc>
          <w:tcPr>
            <w:tcW w:w="1242" w:type="dxa"/>
          </w:tcPr>
          <w:p w:rsidR="0044167F" w:rsidRDefault="0044167F" w:rsidP="000E30AE"/>
        </w:tc>
        <w:tc>
          <w:tcPr>
            <w:tcW w:w="1418" w:type="dxa"/>
          </w:tcPr>
          <w:p w:rsidR="0044167F" w:rsidRDefault="0044167F" w:rsidP="000E30AE"/>
        </w:tc>
        <w:tc>
          <w:tcPr>
            <w:tcW w:w="4248" w:type="dxa"/>
          </w:tcPr>
          <w:p w:rsidR="0044167F" w:rsidRDefault="0044167F" w:rsidP="000E30AE"/>
        </w:tc>
        <w:tc>
          <w:tcPr>
            <w:tcW w:w="2303" w:type="dxa"/>
          </w:tcPr>
          <w:p w:rsidR="0044167F" w:rsidRDefault="0044167F" w:rsidP="000E30AE"/>
        </w:tc>
      </w:tr>
    </w:tbl>
    <w:p w:rsidR="002D3ECA" w:rsidRPr="00BA4A01" w:rsidRDefault="002D3ECA" w:rsidP="002D3ECA">
      <w:pPr>
        <w:rPr>
          <w:sz w:val="2"/>
          <w:szCs w:val="2"/>
        </w:rPr>
      </w:pPr>
    </w:p>
    <w:p w:rsidR="002D3ECA" w:rsidRDefault="002D3ECA" w:rsidP="002D3ECA"/>
    <w:p w:rsidR="006330C0" w:rsidRPr="002D3ECA" w:rsidRDefault="006330C0">
      <w:pPr>
        <w:rPr>
          <w:lang w:val="en-US"/>
        </w:rPr>
      </w:pPr>
    </w:p>
    <w:p w:rsidR="0073674B" w:rsidRPr="002D3ECA" w:rsidRDefault="0073674B">
      <w:pPr>
        <w:widowControl/>
        <w:rPr>
          <w:b/>
          <w:sz w:val="28"/>
          <w:szCs w:val="28"/>
          <w:lang w:val="en-US"/>
        </w:rPr>
      </w:pPr>
    </w:p>
    <w:p w:rsidR="0073674B" w:rsidRPr="002D3ECA" w:rsidRDefault="00FE15A1" w:rsidP="00FE15A1">
      <w:pPr>
        <w:widowControl/>
        <w:tabs>
          <w:tab w:val="left" w:pos="7650"/>
        </w:tabs>
        <w:rPr>
          <w:b/>
          <w:sz w:val="28"/>
          <w:szCs w:val="28"/>
          <w:lang w:val="en-US"/>
        </w:rPr>
      </w:pPr>
      <w:r w:rsidRPr="002D3ECA">
        <w:rPr>
          <w:b/>
          <w:sz w:val="28"/>
          <w:szCs w:val="28"/>
          <w:lang w:val="en-US"/>
        </w:rPr>
        <w:tab/>
      </w:r>
    </w:p>
    <w:p w:rsidR="00792109" w:rsidRPr="002D3ECA" w:rsidRDefault="00792109">
      <w:pPr>
        <w:widowControl/>
        <w:rPr>
          <w:b/>
          <w:sz w:val="28"/>
          <w:szCs w:val="28"/>
          <w:lang w:val="en-US"/>
        </w:rPr>
      </w:pPr>
    </w:p>
    <w:p w:rsidR="0073674B" w:rsidRPr="002D3ECA" w:rsidRDefault="0073674B">
      <w:pPr>
        <w:widowControl/>
        <w:rPr>
          <w:b/>
          <w:sz w:val="28"/>
          <w:szCs w:val="28"/>
          <w:lang w:val="en-US"/>
        </w:rPr>
      </w:pPr>
    </w:p>
    <w:sectPr w:rsidR="0073674B" w:rsidRPr="002D3ECA" w:rsidSect="00FE15A1">
      <w:headerReference w:type="default" r:id="rId11"/>
      <w:footerReference w:type="default" r:id="rId12"/>
      <w:headerReference w:type="first" r:id="rId13"/>
      <w:footerReference w:type="first" r:id="rId14"/>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5E3EB5" w:rsidP="005C7C25">
          <w:pPr>
            <w:tabs>
              <w:tab w:val="left" w:pos="5010"/>
              <w:tab w:val="left" w:pos="6663"/>
            </w:tabs>
            <w:rPr>
              <w:rFonts w:asciiTheme="minorHAnsi" w:hAnsiTheme="minorHAnsi"/>
              <w:sz w:val="16"/>
              <w:szCs w:val="16"/>
            </w:rPr>
          </w:pPr>
          <w:bookmarkStart w:id="16" w:name="handläggare_sf"/>
          <w:r>
            <w:rPr>
              <w:rFonts w:asciiTheme="minorHAnsi" w:hAnsiTheme="minorHAnsi"/>
              <w:sz w:val="16"/>
              <w:szCs w:val="16"/>
            </w:rPr>
            <w:t>Susanne Klintberg/SLL/SLL</w:t>
          </w:r>
          <w:bookmarkEnd w:id="16"/>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5E3EB5" w:rsidP="005C7C25">
          <w:pPr>
            <w:tabs>
              <w:tab w:val="left" w:pos="5010"/>
              <w:tab w:val="left" w:pos="6663"/>
            </w:tabs>
            <w:rPr>
              <w:rFonts w:asciiTheme="minorHAnsi" w:hAnsiTheme="minorHAnsi"/>
              <w:sz w:val="16"/>
              <w:szCs w:val="16"/>
            </w:rPr>
          </w:pPr>
          <w:bookmarkStart w:id="17" w:name="dokumentnr_sf"/>
          <w:bookmarkStart w:id="18" w:name="löpnummer_sf"/>
          <w:bookmarkEnd w:id="17"/>
          <w:r>
            <w:rPr>
              <w:rFonts w:asciiTheme="minorHAnsi" w:hAnsiTheme="minorHAnsi"/>
              <w:sz w:val="16"/>
              <w:szCs w:val="16"/>
            </w:rPr>
            <w:t>Kar2-17008</w:t>
          </w:r>
          <w:bookmarkEnd w:id="18"/>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5E3EB5" w:rsidP="005C7C25">
          <w:pPr>
            <w:tabs>
              <w:tab w:val="left" w:pos="5010"/>
              <w:tab w:val="left" w:pos="6663"/>
            </w:tabs>
            <w:rPr>
              <w:rFonts w:asciiTheme="minorHAnsi" w:hAnsiTheme="minorHAnsi"/>
              <w:sz w:val="16"/>
              <w:szCs w:val="16"/>
            </w:rPr>
          </w:pPr>
          <w:bookmarkStart w:id="19" w:name="fastställare_sf"/>
          <w:r>
            <w:rPr>
              <w:rFonts w:asciiTheme="minorHAnsi" w:hAnsiTheme="minorHAnsi"/>
              <w:sz w:val="16"/>
              <w:szCs w:val="16"/>
            </w:rPr>
            <w:t>Ronak Perot/Karolinska/SLL</w:t>
          </w:r>
          <w:bookmarkEnd w:id="19"/>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5E3EB5" w:rsidP="005C7C25">
          <w:pPr>
            <w:tabs>
              <w:tab w:val="left" w:pos="5010"/>
              <w:tab w:val="left" w:pos="6663"/>
            </w:tabs>
            <w:rPr>
              <w:rFonts w:asciiTheme="minorHAnsi" w:hAnsiTheme="minorHAnsi"/>
              <w:sz w:val="16"/>
              <w:szCs w:val="16"/>
            </w:rPr>
          </w:pPr>
          <w:bookmarkStart w:id="20" w:name="version_sf"/>
          <w:r>
            <w:rPr>
              <w:rFonts w:asciiTheme="minorHAnsi" w:hAnsiTheme="minorHAnsi"/>
              <w:sz w:val="16"/>
              <w:szCs w:val="16"/>
            </w:rPr>
            <w:t>1</w:t>
          </w:r>
          <w:bookmarkEnd w:id="20"/>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21" w:name="organisation_sf"/>
          <w:bookmarkEnd w:id="21"/>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5E3EB5" w:rsidP="00E8302B">
          <w:pPr>
            <w:tabs>
              <w:tab w:val="left" w:pos="5010"/>
              <w:tab w:val="left" w:pos="6663"/>
            </w:tabs>
            <w:rPr>
              <w:rFonts w:asciiTheme="minorHAnsi" w:hAnsiTheme="minorHAnsi"/>
              <w:sz w:val="16"/>
              <w:szCs w:val="16"/>
            </w:rPr>
          </w:pPr>
          <w:bookmarkStart w:id="22" w:name="giltigdatum_sf"/>
          <w:r>
            <w:rPr>
              <w:rFonts w:asciiTheme="minorHAnsi" w:hAnsiTheme="minorHAnsi"/>
              <w:sz w:val="16"/>
              <w:szCs w:val="16"/>
            </w:rPr>
            <w:t>2019-07-17</w:t>
          </w:r>
          <w:bookmarkEnd w:id="22"/>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5E3EB5">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5E3EB5">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5E3EB5" w:rsidP="005C7C25">
          <w:pPr>
            <w:tabs>
              <w:tab w:val="left" w:pos="5010"/>
              <w:tab w:val="left" w:pos="6663"/>
            </w:tabs>
            <w:rPr>
              <w:rFonts w:asciiTheme="minorHAnsi" w:hAnsiTheme="minorHAnsi"/>
              <w:sz w:val="16"/>
              <w:szCs w:val="16"/>
            </w:rPr>
          </w:pPr>
          <w:bookmarkStart w:id="26" w:name="handläggare"/>
          <w:r>
            <w:rPr>
              <w:rFonts w:asciiTheme="minorHAnsi" w:hAnsiTheme="minorHAnsi"/>
              <w:sz w:val="16"/>
              <w:szCs w:val="16"/>
            </w:rPr>
            <w:t>Susanne Klintberg/SLL/SLL</w:t>
          </w:r>
          <w:bookmarkEnd w:id="26"/>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5E3EB5" w:rsidP="00BD7647">
          <w:pPr>
            <w:tabs>
              <w:tab w:val="left" w:pos="5010"/>
              <w:tab w:val="left" w:pos="6663"/>
            </w:tabs>
            <w:rPr>
              <w:rFonts w:asciiTheme="minorHAnsi" w:hAnsiTheme="minorHAnsi"/>
              <w:sz w:val="16"/>
              <w:szCs w:val="16"/>
            </w:rPr>
          </w:pPr>
          <w:bookmarkStart w:id="27" w:name="löpnummer"/>
          <w:r>
            <w:rPr>
              <w:rFonts w:asciiTheme="minorHAnsi" w:hAnsiTheme="minorHAnsi"/>
              <w:sz w:val="16"/>
              <w:szCs w:val="16"/>
            </w:rPr>
            <w:t>Kar2-17008</w:t>
          </w:r>
          <w:bookmarkEnd w:id="27"/>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5E3EB5" w:rsidP="005C7C25">
          <w:pPr>
            <w:tabs>
              <w:tab w:val="left" w:pos="5010"/>
              <w:tab w:val="left" w:pos="6663"/>
            </w:tabs>
            <w:rPr>
              <w:rFonts w:asciiTheme="minorHAnsi" w:hAnsiTheme="minorHAnsi"/>
              <w:sz w:val="16"/>
              <w:szCs w:val="16"/>
            </w:rPr>
          </w:pPr>
          <w:bookmarkStart w:id="28" w:name="fastställare"/>
          <w:r>
            <w:rPr>
              <w:rFonts w:asciiTheme="minorHAnsi" w:hAnsiTheme="minorHAnsi"/>
              <w:sz w:val="16"/>
              <w:szCs w:val="16"/>
            </w:rPr>
            <w:t>Ronak Perot/Karolinska/SLL</w:t>
          </w:r>
          <w:bookmarkEnd w:id="28"/>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5E3EB5" w:rsidP="00BD7647">
          <w:pPr>
            <w:tabs>
              <w:tab w:val="left" w:pos="5010"/>
              <w:tab w:val="left" w:pos="6663"/>
            </w:tabs>
            <w:rPr>
              <w:rFonts w:asciiTheme="minorHAnsi" w:hAnsiTheme="minorHAnsi"/>
              <w:sz w:val="16"/>
              <w:szCs w:val="16"/>
            </w:rPr>
          </w:pPr>
          <w:bookmarkStart w:id="29" w:name="version"/>
          <w:r>
            <w:rPr>
              <w:rFonts w:asciiTheme="minorHAnsi" w:hAnsiTheme="minorHAnsi"/>
              <w:sz w:val="16"/>
              <w:szCs w:val="16"/>
            </w:rPr>
            <w:t>1</w:t>
          </w:r>
          <w:bookmarkEnd w:id="29"/>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30" w:name="Organisation"/>
          <w:bookmarkEnd w:id="30"/>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5E3EB5" w:rsidP="005C7C25">
          <w:pPr>
            <w:tabs>
              <w:tab w:val="left" w:pos="5010"/>
              <w:tab w:val="left" w:pos="6663"/>
            </w:tabs>
            <w:rPr>
              <w:rFonts w:asciiTheme="minorHAnsi" w:hAnsiTheme="minorHAnsi"/>
              <w:sz w:val="16"/>
              <w:szCs w:val="16"/>
            </w:rPr>
          </w:pPr>
          <w:bookmarkStart w:id="31" w:name="giltigdatum"/>
          <w:r>
            <w:rPr>
              <w:rFonts w:asciiTheme="minorHAnsi" w:hAnsiTheme="minorHAnsi"/>
              <w:sz w:val="16"/>
              <w:szCs w:val="16"/>
            </w:rPr>
            <w:t>2019-07-17</w:t>
          </w:r>
          <w:bookmarkEnd w:id="31"/>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5E3EB5">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5E3EB5">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5E3EB5" w:rsidP="0000601D">
          <w:pPr>
            <w:tabs>
              <w:tab w:val="left" w:pos="5010"/>
              <w:tab w:val="left" w:pos="6663"/>
            </w:tabs>
            <w:rPr>
              <w:rFonts w:asciiTheme="minorHAnsi" w:hAnsiTheme="minorHAnsi"/>
            </w:rPr>
          </w:pPr>
          <w:bookmarkStart w:id="14" w:name="Dokumenttyp_sf"/>
          <w:r>
            <w:rPr>
              <w:rFonts w:asciiTheme="minorHAnsi" w:hAnsiTheme="minorHAnsi"/>
            </w:rPr>
            <w:t>Stödjande dokument</w:t>
          </w:r>
          <w:bookmarkEnd w:id="14"/>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2D3ECA">
            <w:rPr>
              <w:rFonts w:asciiTheme="minorHAnsi" w:hAnsiTheme="minorHAnsi"/>
              <w:noProof/>
            </w:rPr>
            <w:fldChar w:fldCharType="begin"/>
          </w:r>
          <w:r w:rsidR="002D3ECA">
            <w:rPr>
              <w:rFonts w:asciiTheme="minorHAnsi" w:hAnsiTheme="minorHAnsi"/>
              <w:noProof/>
            </w:rPr>
            <w:instrText xml:space="preserve"> NUMPAGES  \* MERGEFORMAT </w:instrText>
          </w:r>
          <w:r w:rsidR="002D3ECA">
            <w:rPr>
              <w:rFonts w:asciiTheme="minorHAnsi" w:hAnsiTheme="minorHAnsi"/>
              <w:noProof/>
            </w:rPr>
            <w:fldChar w:fldCharType="separate"/>
          </w:r>
          <w:r w:rsidR="00047788" w:rsidRPr="00047788">
            <w:rPr>
              <w:rFonts w:asciiTheme="minorHAnsi" w:hAnsiTheme="minorHAnsi"/>
              <w:noProof/>
            </w:rPr>
            <w:t>2</w:t>
          </w:r>
          <w:r w:rsidR="002D3ECA">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15" w:name="arkiverat_sf"/>
          <w:bookmarkEnd w:id="15"/>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5E3EB5" w:rsidP="00773423">
          <w:pPr>
            <w:tabs>
              <w:tab w:val="left" w:pos="5010"/>
              <w:tab w:val="left" w:pos="6663"/>
            </w:tabs>
            <w:rPr>
              <w:rFonts w:asciiTheme="minorHAnsi" w:hAnsiTheme="minorHAnsi"/>
            </w:rPr>
          </w:pPr>
          <w:bookmarkStart w:id="23" w:name="Dokumenttyp"/>
          <w:r>
            <w:rPr>
              <w:rFonts w:asciiTheme="minorHAnsi" w:hAnsiTheme="minorHAnsi"/>
            </w:rPr>
            <w:t>Stödjande dokument</w:t>
          </w:r>
          <w:bookmarkEnd w:id="23"/>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2D3ECA">
            <w:rPr>
              <w:rFonts w:asciiTheme="minorHAnsi" w:hAnsiTheme="minorHAnsi"/>
              <w:noProof/>
            </w:rPr>
            <w:fldChar w:fldCharType="begin"/>
          </w:r>
          <w:r w:rsidR="002D3ECA">
            <w:rPr>
              <w:rFonts w:asciiTheme="minorHAnsi" w:hAnsiTheme="minorHAnsi"/>
              <w:noProof/>
            </w:rPr>
            <w:instrText xml:space="preserve"> NUMPAGES  \* MERGEFORMAT </w:instrText>
          </w:r>
          <w:r w:rsidR="002D3ECA">
            <w:rPr>
              <w:rFonts w:asciiTheme="minorHAnsi" w:hAnsiTheme="minorHAnsi"/>
              <w:noProof/>
            </w:rPr>
            <w:fldChar w:fldCharType="separate"/>
          </w:r>
          <w:r w:rsidR="00047788" w:rsidRPr="00047788">
            <w:rPr>
              <w:rFonts w:asciiTheme="minorHAnsi" w:hAnsiTheme="minorHAnsi"/>
              <w:noProof/>
            </w:rPr>
            <w:t>2</w:t>
          </w:r>
          <w:r w:rsidR="002D3ECA">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24" w:name="giltigdatum_ny"/>
          <w:bookmarkEnd w:id="24"/>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25" w:name="arkiverat"/>
          <w:bookmarkEnd w:id="25"/>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16AA"/>
    <w:multiLevelType w:val="hybridMultilevel"/>
    <w:tmpl w:val="6AA0DEA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C38BE"/>
    <w:multiLevelType w:val="hybridMultilevel"/>
    <w:tmpl w:val="05780C1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5E47CC"/>
    <w:multiLevelType w:val="hybridMultilevel"/>
    <w:tmpl w:val="B9800A2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45F4C74"/>
    <w:multiLevelType w:val="hybridMultilevel"/>
    <w:tmpl w:val="679E851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717064"/>
    <w:multiLevelType w:val="hybridMultilevel"/>
    <w:tmpl w:val="B4CC789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4443F0"/>
    <w:multiLevelType w:val="hybridMultilevel"/>
    <w:tmpl w:val="B3E27CB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9A45FA6"/>
    <w:multiLevelType w:val="hybridMultilevel"/>
    <w:tmpl w:val="2974A2F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C70F4"/>
    <w:rsid w:val="002D3ECA"/>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167F"/>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51410"/>
    <w:rsid w:val="005647A8"/>
    <w:rsid w:val="00576479"/>
    <w:rsid w:val="00594B6A"/>
    <w:rsid w:val="005A75E6"/>
    <w:rsid w:val="005B04BF"/>
    <w:rsid w:val="005C1E82"/>
    <w:rsid w:val="005C2A6A"/>
    <w:rsid w:val="005C50FF"/>
    <w:rsid w:val="005C7CF9"/>
    <w:rsid w:val="005E3EB5"/>
    <w:rsid w:val="00602275"/>
    <w:rsid w:val="00605C27"/>
    <w:rsid w:val="006138C1"/>
    <w:rsid w:val="00624F6F"/>
    <w:rsid w:val="006330C0"/>
    <w:rsid w:val="00652608"/>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27715"/>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0463"/>
    <w:rsid w:val="00A73FE6"/>
    <w:rsid w:val="00A7734E"/>
    <w:rsid w:val="00A808AE"/>
    <w:rsid w:val="00A80F9E"/>
    <w:rsid w:val="00A83DA6"/>
    <w:rsid w:val="00AD7B2E"/>
    <w:rsid w:val="00AE2C8C"/>
    <w:rsid w:val="00AE2CA7"/>
    <w:rsid w:val="00AF69EE"/>
    <w:rsid w:val="00B00F3E"/>
    <w:rsid w:val="00B2112E"/>
    <w:rsid w:val="00B22B7D"/>
    <w:rsid w:val="00B237A2"/>
    <w:rsid w:val="00B24C48"/>
    <w:rsid w:val="00B46D94"/>
    <w:rsid w:val="00B5688E"/>
    <w:rsid w:val="00B7532A"/>
    <w:rsid w:val="00B81FC6"/>
    <w:rsid w:val="00B85E7F"/>
    <w:rsid w:val="00BA3DB1"/>
    <w:rsid w:val="00BA4416"/>
    <w:rsid w:val="00BB044B"/>
    <w:rsid w:val="00BB2D58"/>
    <w:rsid w:val="00BB74B1"/>
    <w:rsid w:val="00BB79AF"/>
    <w:rsid w:val="00BC2905"/>
    <w:rsid w:val="00BD7647"/>
    <w:rsid w:val="00BF186B"/>
    <w:rsid w:val="00C11263"/>
    <w:rsid w:val="00C11EF7"/>
    <w:rsid w:val="00C215F0"/>
    <w:rsid w:val="00C27304"/>
    <w:rsid w:val="00C579D4"/>
    <w:rsid w:val="00C707B1"/>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F3558"/>
    <w:rsid w:val="00DF3638"/>
    <w:rsid w:val="00E169EE"/>
    <w:rsid w:val="00E21228"/>
    <w:rsid w:val="00E573C0"/>
    <w:rsid w:val="00E63120"/>
    <w:rsid w:val="00E64F96"/>
    <w:rsid w:val="00E7592E"/>
    <w:rsid w:val="00E82565"/>
    <w:rsid w:val="00E94A0B"/>
    <w:rsid w:val="00EA6533"/>
    <w:rsid w:val="00EB290C"/>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8FCA18CB-2D94-4588-8F67-446616F8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ECA"/>
    <w:pPr>
      <w:autoSpaceDE w:val="0"/>
      <w:autoSpaceDN w:val="0"/>
      <w:adjustRightInd w:val="0"/>
    </w:pPr>
    <w:rPr>
      <w:rFonts w:eastAsia="Calibri"/>
      <w:color w:val="000000"/>
      <w:sz w:val="24"/>
      <w:szCs w:val="24"/>
      <w:lang w:eastAsia="en-US"/>
    </w:rPr>
  </w:style>
  <w:style w:type="character" w:styleId="Hyperlnk">
    <w:name w:val="Hyperlink"/>
    <w:basedOn w:val="Standardstycketeckensnitt"/>
    <w:uiPriority w:val="99"/>
    <w:unhideWhenUsed/>
    <w:rsid w:val="002D3ECA"/>
    <w:rPr>
      <w:color w:val="0000FF" w:themeColor="hyperlink"/>
      <w:u w:val="single"/>
    </w:rPr>
  </w:style>
  <w:style w:type="paragraph" w:styleId="Innehllsfrteckningsrubrik">
    <w:name w:val="TOC Heading"/>
    <w:basedOn w:val="Rubrik1"/>
    <w:next w:val="Normal"/>
    <w:uiPriority w:val="39"/>
    <w:unhideWhenUsed/>
    <w:qFormat/>
    <w:rsid w:val="002D3ECA"/>
    <w:pPr>
      <w:keepLines/>
      <w:widowControl/>
      <w:spacing w:before="480" w:line="276" w:lineRule="auto"/>
      <w:outlineLvl w:val="9"/>
    </w:pPr>
    <w:rPr>
      <w:rFonts w:asciiTheme="majorHAnsi" w:eastAsiaTheme="majorEastAsia" w:hAnsiTheme="majorHAnsi" w:cstheme="majorBidi"/>
      <w:color w:val="365F91" w:themeColor="accent1" w:themeShade="BF"/>
      <w:kern w:val="0"/>
      <w:lang w:val="en-US" w:eastAsia="en-US"/>
    </w:rPr>
  </w:style>
  <w:style w:type="paragraph" w:styleId="Innehll1">
    <w:name w:val="toc 1"/>
    <w:basedOn w:val="Normal"/>
    <w:next w:val="Normal"/>
    <w:autoRedefine/>
    <w:uiPriority w:val="39"/>
    <w:unhideWhenUsed/>
    <w:rsid w:val="002D3ECA"/>
    <w:pPr>
      <w:spacing w:before="120"/>
    </w:pPr>
    <w:rPr>
      <w:rFonts w:asciiTheme="minorHAnsi" w:hAnsiTheme="minorHAnsi"/>
      <w:b/>
      <w:bCs/>
    </w:rPr>
  </w:style>
  <w:style w:type="paragraph" w:styleId="Innehll2">
    <w:name w:val="toc 2"/>
    <w:basedOn w:val="Normal"/>
    <w:next w:val="Normal"/>
    <w:autoRedefine/>
    <w:uiPriority w:val="39"/>
    <w:unhideWhenUsed/>
    <w:rsid w:val="002D3ECA"/>
    <w:pPr>
      <w:ind w:left="240"/>
    </w:pPr>
    <w:rPr>
      <w:rFonts w:asciiTheme="minorHAnsi" w:hAnsiTheme="min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th.se/wp-content/uploads/2017/11/NOAK-17.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nusinfo.se/download/18.710ed317161746d8052e59a/1535626583999/Orala-antitrombotiska-lakemedel-vid-blodning-och-infor-kirurgi-A5-2017.pdf" TargetMode="External"/><Relationship Id="rId4" Type="http://schemas.openxmlformats.org/officeDocument/2006/relationships/settings" Target="settings.xml"/><Relationship Id="rId9" Type="http://schemas.openxmlformats.org/officeDocument/2006/relationships/hyperlink" Target="https://www.ssth.se/wp-content/uploads/2017/04/vptrombocyt151101.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98F38BBC7748509D93CBCAF4202637"/>
        <w:category>
          <w:name w:val="Allmänt"/>
          <w:gallery w:val="placeholder"/>
        </w:category>
        <w:types>
          <w:type w:val="bbPlcHdr"/>
        </w:types>
        <w:behaviors>
          <w:behavior w:val="content"/>
        </w:behaviors>
        <w:guid w:val="{6011571D-F2C7-4D23-91F1-9080731056C2}"/>
      </w:docPartPr>
      <w:docPartBody>
        <w:p w:rsidR="00D20EA4" w:rsidRDefault="008163AC" w:rsidP="008163AC">
          <w:pPr>
            <w:pStyle w:val="0D98F38BBC7748509D93CBCAF4202637"/>
          </w:pPr>
          <w:r w:rsidRPr="00B05369">
            <w:rPr>
              <w:rStyle w:val="Platshllartext"/>
              <w:rFonts w:eastAsiaTheme="minorHAnsi"/>
            </w:rPr>
            <w:t>Klicka eller tryck här för att ange text.</w:t>
          </w:r>
        </w:p>
      </w:docPartBody>
    </w:docPart>
    <w:docPart>
      <w:docPartPr>
        <w:name w:val="51C7D25D36C54D368E3300186BBC8B0D"/>
        <w:category>
          <w:name w:val="Allmänt"/>
          <w:gallery w:val="placeholder"/>
        </w:category>
        <w:types>
          <w:type w:val="bbPlcHdr"/>
        </w:types>
        <w:behaviors>
          <w:behavior w:val="content"/>
        </w:behaviors>
        <w:guid w:val="{375972CA-F2D7-4E3B-8334-ADE3C4AF38A6}"/>
      </w:docPartPr>
      <w:docPartBody>
        <w:p w:rsidR="00D20EA4" w:rsidRDefault="008163AC" w:rsidP="008163AC">
          <w:pPr>
            <w:pStyle w:val="51C7D25D36C54D368E3300186BBC8B0D"/>
          </w:pPr>
          <w:r w:rsidRPr="00B05369">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AC"/>
    <w:rsid w:val="008163AC"/>
    <w:rsid w:val="00D20E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8163AC"/>
    <w:rPr>
      <w:color w:val="808080"/>
    </w:rPr>
  </w:style>
  <w:style w:type="paragraph" w:customStyle="1" w:styleId="0D98F38BBC7748509D93CBCAF4202637">
    <w:name w:val="0D98F38BBC7748509D93CBCAF4202637"/>
    <w:rsid w:val="008163AC"/>
  </w:style>
  <w:style w:type="paragraph" w:customStyle="1" w:styleId="51C7D25D36C54D368E3300186BBC8B0D">
    <w:name w:val="51C7D25D36C54D368E3300186BBC8B0D"/>
    <w:rsid w:val="00816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A804A-FC8E-40D5-AF61-C3112C5B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278EE82C</Template>
  <TotalTime>7</TotalTime>
  <Pages>4</Pages>
  <Words>1838</Words>
  <Characters>9746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15</cp:revision>
  <cp:lastPrinted>2005-03-23T12:04:00Z</cp:lastPrinted>
  <dcterms:created xsi:type="dcterms:W3CDTF">2019-07-17T13:20:00Z</dcterms:created>
  <dcterms:modified xsi:type="dcterms:W3CDTF">2021-03-04T09:58:00Z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