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B0" w:rsidRDefault="008B6CB0" w:rsidP="005C20E9">
      <w:pPr>
        <w:pStyle w:val="Rubrik1"/>
        <w:rPr>
          <w:lang w:val="en-US"/>
        </w:rPr>
      </w:pPr>
      <w:bookmarkStart w:id="0" w:name="Rubrik"/>
    </w:p>
    <w:p w:rsidR="008C2B03" w:rsidRPr="00BA3DB1" w:rsidRDefault="00C56281" w:rsidP="005C20E9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Trombosprofylax - antikoagulationsbehandling vid gynekologisk kirurgi"/>
            </w:textInput>
          </w:ffData>
        </w:fldChar>
      </w:r>
      <w:r w:rsidR="00BA3DB1" w:rsidRPr="00BA3DB1">
        <w:instrText xml:space="preserve"> FORMTEXT </w:instrText>
      </w:r>
      <w:r w:rsidR="00E5536F">
        <w:rPr>
          <w:lang w:val="en-US"/>
        </w:rPr>
      </w:r>
      <w:r>
        <w:rPr>
          <w:lang w:val="en-US"/>
        </w:rPr>
        <w:fldChar w:fldCharType="separate"/>
      </w:r>
      <w:r w:rsidR="00E5536F" w:rsidRPr="00E5536F">
        <w:t>Trombosprofylax - antikoagulationsbehandling vid gynekologisk kirurgi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5C20E9" w:rsidRDefault="005C20E9" w:rsidP="005C20E9"/>
    <w:p w:rsidR="005C20E9" w:rsidRPr="005C20E9" w:rsidRDefault="005C20E9" w:rsidP="005C20E9">
      <w:r w:rsidRPr="005C20E9">
        <w:t xml:space="preserve">Tromboembolism i samband med gynekologiska ingrepp är relativt ovanligt. Det förekommer dock speciellt då riskfaktorer för utvecklande av trombos föreligger. </w:t>
      </w:r>
    </w:p>
    <w:p w:rsidR="005C20E9" w:rsidRDefault="005C20E9" w:rsidP="005C20E9">
      <w:pPr>
        <w:rPr>
          <w:b/>
        </w:rPr>
      </w:pPr>
    </w:p>
    <w:p w:rsidR="005C20E9" w:rsidRPr="005C20E9" w:rsidRDefault="005C20E9" w:rsidP="005C20E9">
      <w:pPr>
        <w:rPr>
          <w:b/>
        </w:rPr>
      </w:pPr>
      <w:r w:rsidRPr="005C20E9">
        <w:rPr>
          <w:b/>
        </w:rPr>
        <w:t>Riskfaktorer för utvecklande av tromboembolism i samband med kirurgi föreligger vid: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Tidigare VTE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 xml:space="preserve">VTE hos förstagradssläkting 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Uttalad övervikt (BMI &gt; 30 kg/m²) *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Känd trombofili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Akut benbrott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Malignitet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Pågående cancerbehandling (hormon-, kemo- eller strålbehandling)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Uttalade varicer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Graviditet och puerperium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Reoperation inom 1 månad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 xml:space="preserve">P-piller, hormonsubstitution** 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Långvarig immobilisering postoperativt, pares</w:t>
      </w:r>
    </w:p>
    <w:p w:rsidR="005C20E9" w:rsidRPr="005C20E9" w:rsidRDefault="005C20E9" w:rsidP="005C20E9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Patienter med allmänmedicinska sjukdomar såsom:</w:t>
      </w:r>
    </w:p>
    <w:p w:rsidR="005C20E9" w:rsidRPr="005C20E9" w:rsidRDefault="005C20E9" w:rsidP="005C20E9">
      <w:pPr>
        <w:pStyle w:val="Liststyck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Inflammatorisk tarmsjukdom (Mb Crohn, ulcerös kolit)</w:t>
      </w:r>
    </w:p>
    <w:p w:rsidR="005C20E9" w:rsidRPr="005C20E9" w:rsidRDefault="005C20E9" w:rsidP="005C20E9">
      <w:pPr>
        <w:pStyle w:val="Liststyck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Myeloproliferativa sjukdomar</w:t>
      </w:r>
    </w:p>
    <w:p w:rsidR="005C20E9" w:rsidRPr="005C20E9" w:rsidRDefault="005C20E9" w:rsidP="005C20E9">
      <w:pPr>
        <w:pStyle w:val="Liststyck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Nefrotiskt syndrom</w:t>
      </w:r>
    </w:p>
    <w:p w:rsidR="005C20E9" w:rsidRPr="005C20E9" w:rsidRDefault="005C20E9" w:rsidP="005C20E9">
      <w:pPr>
        <w:pStyle w:val="Liststyck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Patienter med kardiologisk sjukdom i anamnesen (hjärtsvikt, kärlsjukdom)</w:t>
      </w:r>
    </w:p>
    <w:p w:rsidR="005C20E9" w:rsidRPr="005C20E9" w:rsidRDefault="005C20E9" w:rsidP="005C20E9">
      <w:pPr>
        <w:rPr>
          <w:b/>
          <w:u w:val="single"/>
        </w:rPr>
      </w:pPr>
    </w:p>
    <w:p w:rsidR="005C20E9" w:rsidRPr="005C20E9" w:rsidRDefault="005C20E9" w:rsidP="005C20E9">
      <w:pPr>
        <w:rPr>
          <w:b/>
          <w:u w:val="single"/>
        </w:rPr>
      </w:pPr>
      <w:r w:rsidRPr="005C20E9">
        <w:rPr>
          <w:b/>
          <w:u w:val="single"/>
        </w:rPr>
        <w:t>Risk grupper</w:t>
      </w:r>
    </w:p>
    <w:p w:rsidR="005C20E9" w:rsidRPr="005C20E9" w:rsidRDefault="005C20E9" w:rsidP="005C20E9">
      <w:r w:rsidRPr="005C20E9">
        <w:rPr>
          <w:b/>
        </w:rPr>
        <w:t>Lågrisk = ingen trombosprofylax</w:t>
      </w:r>
      <w:r w:rsidRPr="005C20E9">
        <w:t xml:space="preserve"> </w:t>
      </w:r>
    </w:p>
    <w:p w:rsidR="005C20E9" w:rsidRPr="005C20E9" w:rsidRDefault="005C20E9" w:rsidP="005C20E9">
      <w:pPr>
        <w:pStyle w:val="Liststyck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Patienter &lt; 40 år</w:t>
      </w:r>
    </w:p>
    <w:p w:rsidR="005C20E9" w:rsidRPr="005C20E9" w:rsidRDefault="005C20E9" w:rsidP="005C20E9">
      <w:pPr>
        <w:pStyle w:val="Liststyck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Inga av ovanstående riskfaktorer</w:t>
      </w:r>
    </w:p>
    <w:p w:rsidR="005C20E9" w:rsidRPr="005C20E9" w:rsidRDefault="005C20E9" w:rsidP="005C20E9">
      <w:pPr>
        <w:pStyle w:val="Liststyck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Beräknad operationstid &lt; 60 min</w:t>
      </w:r>
    </w:p>
    <w:p w:rsidR="005C20E9" w:rsidRPr="005C20E9" w:rsidRDefault="005C20E9" w:rsidP="005C20E9">
      <w:pPr>
        <w:pStyle w:val="Liststyck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 xml:space="preserve">Mindre ingrepp såsom abrasio, hysteroskopi, konisering, perineorafi, okomplicerad kolporafi torde normalt inte vara indikation för trombosprofylax </w:t>
      </w:r>
    </w:p>
    <w:p w:rsidR="005C20E9" w:rsidRPr="005C20E9" w:rsidRDefault="005C20E9" w:rsidP="005C20E9">
      <w:pPr>
        <w:rPr>
          <w:b/>
        </w:rPr>
      </w:pPr>
      <w:r>
        <w:rPr>
          <w:b/>
        </w:rPr>
        <w:br/>
      </w:r>
      <w:r w:rsidRPr="005C20E9">
        <w:rPr>
          <w:b/>
        </w:rPr>
        <w:t>Högrisk = trombosprofylax med Fragmin 5000 E ges 6 timmar efter operationens avslutande eller senast kl 20</w:t>
      </w:r>
    </w:p>
    <w:p w:rsidR="005C20E9" w:rsidRPr="005C20E9" w:rsidRDefault="005C20E9" w:rsidP="005C20E9">
      <w:pPr>
        <w:pStyle w:val="Liststyck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Patienter ≥ 40 år. Undantag patienter som ska genomgå mindre ingrepp, se ovan</w:t>
      </w:r>
    </w:p>
    <w:p w:rsidR="005C20E9" w:rsidRPr="005C20E9" w:rsidRDefault="005C20E9" w:rsidP="005C20E9">
      <w:pPr>
        <w:pStyle w:val="Liststyck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Patienter med någon av ovanstående riskfaktorer. Undantag mindre ingrepp, se ovan</w:t>
      </w:r>
    </w:p>
    <w:p w:rsidR="005C20E9" w:rsidRPr="005C20E9" w:rsidRDefault="005C20E9" w:rsidP="005C20E9">
      <w:pPr>
        <w:pStyle w:val="Liststyck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Patienter med beräknad operationstid ≥ 60 min</w:t>
      </w:r>
    </w:p>
    <w:p w:rsidR="005C20E9" w:rsidRDefault="005C20E9" w:rsidP="005C20E9"/>
    <w:p w:rsidR="005C20E9" w:rsidRPr="005C20E9" w:rsidRDefault="005C20E9" w:rsidP="005C20E9">
      <w:r w:rsidRPr="005C20E9">
        <w:t xml:space="preserve">Vid större blödning avvaktas med trombosprofylax tills blödningen är under kontroll, överväg därefter att ge reducerad dos av Fragmin var tolfte timme i något dygn.  </w:t>
      </w:r>
    </w:p>
    <w:p w:rsidR="005C20E9" w:rsidRDefault="005C20E9" w:rsidP="005C20E9">
      <w:r w:rsidRPr="005C20E9">
        <w:t xml:space="preserve">Generellt erhåller patienter med benign sjukdom trombosprofylax i sammanlagt 7 dagar och patienter med malign sjukdom i sammanlagt 28 dagar efter operation. </w:t>
      </w:r>
    </w:p>
    <w:p w:rsidR="005C20E9" w:rsidRDefault="005C20E9">
      <w:pPr>
        <w:widowControl/>
      </w:pPr>
      <w:r>
        <w:br w:type="page"/>
      </w:r>
    </w:p>
    <w:p w:rsidR="005C20E9" w:rsidRPr="005C20E9" w:rsidRDefault="005C20E9" w:rsidP="005C20E9">
      <w:bookmarkStart w:id="1" w:name="_GoBack"/>
      <w:bookmarkEnd w:id="1"/>
      <w:r w:rsidRPr="005C20E9">
        <w:lastRenderedPageBreak/>
        <w:t>*Till personer med vikt &gt; 90 kg och förekomst av övriga riskfaktorer bör man överväga högre profylaxdos, Fragmin 7500 E.</w:t>
      </w:r>
    </w:p>
    <w:p w:rsidR="005C20E9" w:rsidRDefault="005C20E9" w:rsidP="005C20E9"/>
    <w:p w:rsidR="005C20E9" w:rsidRPr="005C20E9" w:rsidRDefault="005C20E9" w:rsidP="005C20E9">
      <w:r w:rsidRPr="005C20E9">
        <w:t xml:space="preserve">**P-piller ska ej utsättas i samband med operation då återinsättande av p-piller postoperativt ger lika hög risk för VTE enligt nya rön. Någon liknande studie av hormonsubstitution hos postmenopausal kvinna finns ej men HRT betraktas som en riskfaktor. </w:t>
      </w:r>
    </w:p>
    <w:p w:rsidR="005C20E9" w:rsidRPr="005C20E9" w:rsidRDefault="005C20E9" w:rsidP="005C20E9">
      <w:pPr>
        <w:rPr>
          <w:b/>
          <w:u w:val="single"/>
        </w:rPr>
      </w:pPr>
    </w:p>
    <w:p w:rsidR="005C20E9" w:rsidRPr="005C20E9" w:rsidRDefault="005C20E9" w:rsidP="005C20E9">
      <w:pPr>
        <w:rPr>
          <w:b/>
          <w:u w:val="single"/>
        </w:rPr>
      </w:pPr>
      <w:r w:rsidRPr="005C20E9">
        <w:rPr>
          <w:b/>
          <w:u w:val="single"/>
        </w:rPr>
        <w:t>Utsättning av Waran inför kirurgi</w:t>
      </w:r>
    </w:p>
    <w:p w:rsidR="005C20E9" w:rsidRDefault="005C20E9" w:rsidP="005C20E9">
      <w:pPr>
        <w:rPr>
          <w:b/>
        </w:rPr>
      </w:pPr>
    </w:p>
    <w:p w:rsidR="005C20E9" w:rsidRPr="005C20E9" w:rsidRDefault="005C20E9" w:rsidP="005C20E9">
      <w:pPr>
        <w:rPr>
          <w:b/>
        </w:rPr>
      </w:pPr>
      <w:r w:rsidRPr="005C20E9">
        <w:rPr>
          <w:b/>
        </w:rPr>
        <w:t>Mekanisk hjärtklaff</w:t>
      </w:r>
    </w:p>
    <w:p w:rsidR="005C20E9" w:rsidRPr="005C20E9" w:rsidRDefault="005C20E9" w:rsidP="005C20E9">
      <w:pPr>
        <w:pStyle w:val="Liststyck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Rådfråga koagulationskonsult på telefon 070-450 76 49 dagtid vardagar om handläggning, övrig tid sök jour via växeln Karolinska Solna</w:t>
      </w:r>
    </w:p>
    <w:p w:rsidR="005C20E9" w:rsidRDefault="005C20E9" w:rsidP="005C20E9">
      <w:pPr>
        <w:rPr>
          <w:b/>
        </w:rPr>
      </w:pPr>
    </w:p>
    <w:p w:rsidR="005C20E9" w:rsidRPr="005C20E9" w:rsidRDefault="005C20E9" w:rsidP="005C20E9">
      <w:pPr>
        <w:rPr>
          <w:b/>
        </w:rPr>
      </w:pPr>
      <w:r w:rsidRPr="005C20E9">
        <w:rPr>
          <w:b/>
        </w:rPr>
        <w:t>Waranbehandling p g a förmaksflimmer eller DVT/lungemboli</w:t>
      </w:r>
    </w:p>
    <w:p w:rsidR="005C20E9" w:rsidRPr="005C20E9" w:rsidRDefault="005C20E9" w:rsidP="005C20E9">
      <w:pPr>
        <w:pStyle w:val="Liststyck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Om total veckodos Waran är ≥ 10 tabletter (15 mg) sätts Waran ut i 3 dagar preoperativt, d v s sista Warandosen tas 4 dagar före operationsdagen</w:t>
      </w:r>
    </w:p>
    <w:p w:rsidR="005C20E9" w:rsidRPr="005C20E9" w:rsidRDefault="005C20E9" w:rsidP="005C20E9">
      <w:pPr>
        <w:pStyle w:val="Liststyck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 xml:space="preserve">Om total veckodos Waran är &lt; 10 tabletter (15 mg) sätts Waran ut 5 dagar preoperativt, d v s sista dos tas 6 dagar före operationsdagen </w:t>
      </w:r>
    </w:p>
    <w:p w:rsidR="005C20E9" w:rsidRPr="005C20E9" w:rsidRDefault="005C20E9" w:rsidP="005C20E9">
      <w:pPr>
        <w:pStyle w:val="Liststyck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Obs! Det tar längre tid vid låg Warandos innan effekten försvinner</w:t>
      </w:r>
    </w:p>
    <w:p w:rsidR="005C20E9" w:rsidRDefault="005C20E9" w:rsidP="005C20E9">
      <w:pPr>
        <w:rPr>
          <w:b/>
        </w:rPr>
      </w:pPr>
    </w:p>
    <w:p w:rsidR="005C20E9" w:rsidRPr="005C20E9" w:rsidRDefault="005C20E9" w:rsidP="005C20E9">
      <w:pPr>
        <w:rPr>
          <w:b/>
        </w:rPr>
      </w:pPr>
      <w:r w:rsidRPr="005C20E9">
        <w:rPr>
          <w:b/>
        </w:rPr>
        <w:t>Kvällen före operation</w:t>
      </w:r>
    </w:p>
    <w:p w:rsidR="005C20E9" w:rsidRPr="005C20E9" w:rsidRDefault="005C20E9" w:rsidP="005C20E9">
      <w:pPr>
        <w:pStyle w:val="Liststyck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PK-INR tas alltid på kvällen före operation</w:t>
      </w:r>
    </w:p>
    <w:p w:rsidR="005C20E9" w:rsidRPr="005C20E9" w:rsidRDefault="005C20E9" w:rsidP="005C20E9">
      <w:pPr>
        <w:pStyle w:val="Liststyck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Om PK-INR &gt; 1,5 kontaktas gynjour för diskussion med koagulationskonsult och ställningstagande till reversering av Waraneffekt</w:t>
      </w:r>
    </w:p>
    <w:p w:rsidR="005C20E9" w:rsidRPr="005C20E9" w:rsidRDefault="005C20E9" w:rsidP="005C20E9">
      <w:pPr>
        <w:pStyle w:val="Liststyck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Om PK-INR ≤ 1,5 ges Fragmin 5000 E</w:t>
      </w:r>
    </w:p>
    <w:p w:rsidR="005C20E9" w:rsidRDefault="005C20E9" w:rsidP="005C20E9">
      <w:pPr>
        <w:rPr>
          <w:b/>
        </w:rPr>
      </w:pPr>
    </w:p>
    <w:p w:rsidR="005C20E9" w:rsidRPr="005C20E9" w:rsidRDefault="005C20E9" w:rsidP="005C20E9">
      <w:pPr>
        <w:rPr>
          <w:b/>
        </w:rPr>
      </w:pPr>
      <w:r w:rsidRPr="005C20E9">
        <w:rPr>
          <w:b/>
        </w:rPr>
        <w:t>Operationsdagen</w:t>
      </w:r>
    </w:p>
    <w:p w:rsidR="005C20E9" w:rsidRPr="005C20E9" w:rsidRDefault="005C20E9" w:rsidP="005C20E9">
      <w:pPr>
        <w:pStyle w:val="Liststyck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För kirurgi önskas PK-INR ≤ 1,5 på operationsdagen. Om PK-INR &gt; 1,5 kontaktas koagulationsjour för ställningstagande till akut reversering av Waraneffekt</w:t>
      </w:r>
    </w:p>
    <w:p w:rsidR="005C20E9" w:rsidRDefault="005C20E9" w:rsidP="005C20E9">
      <w:pPr>
        <w:rPr>
          <w:b/>
        </w:rPr>
      </w:pPr>
    </w:p>
    <w:p w:rsidR="005C20E9" w:rsidRPr="005C20E9" w:rsidRDefault="005C20E9" w:rsidP="005C20E9">
      <w:pPr>
        <w:rPr>
          <w:b/>
        </w:rPr>
      </w:pPr>
      <w:r w:rsidRPr="005C20E9">
        <w:rPr>
          <w:b/>
        </w:rPr>
        <w:t>Postoperativt</w:t>
      </w:r>
    </w:p>
    <w:p w:rsidR="005C20E9" w:rsidRPr="005C20E9" w:rsidRDefault="005C20E9" w:rsidP="005C20E9">
      <w:pPr>
        <w:pStyle w:val="Liststyck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Generellt återinsätts Waran i ordinarie dos den aktuella dagen på operationsdagens kväll. Om ökad blödningsrisk (exempelvis mycket lättblödande eller större blödning peroperativt) ska Waran återinsättas postoperativdag 1 på kvällen. Dock ej vid kvarliggande EDA-kateter då Waran är kontraindicerat</w:t>
      </w:r>
    </w:p>
    <w:p w:rsidR="005C20E9" w:rsidRPr="005C20E9" w:rsidRDefault="005C20E9" w:rsidP="005C20E9">
      <w:pPr>
        <w:pStyle w:val="Liststyck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Fragmin får ej sättas ut förrän PK-INR är &gt; 1,8</w:t>
      </w:r>
    </w:p>
    <w:p w:rsidR="005C20E9" w:rsidRPr="005C20E9" w:rsidRDefault="005C20E9" w:rsidP="005C20E9">
      <w:pPr>
        <w:pStyle w:val="Liststyck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0E9">
        <w:rPr>
          <w:rFonts w:ascii="Times New Roman" w:hAnsi="Times New Roman" w:cs="Times New Roman"/>
          <w:sz w:val="24"/>
          <w:szCs w:val="24"/>
        </w:rPr>
        <w:t>Postoperativ dag 3 kontrolleras nytt PK-INR (vilket oftast görs i öppenvården då flesta patienter är utskrivna). Fragmin avslutas när PK-INR är &gt; 1,8</w:t>
      </w:r>
    </w:p>
    <w:p w:rsidR="005C20E9" w:rsidRDefault="005C20E9" w:rsidP="005C20E9">
      <w:pPr>
        <w:rPr>
          <w:b/>
          <w:u w:val="single"/>
        </w:rPr>
      </w:pPr>
    </w:p>
    <w:p w:rsidR="005C20E9" w:rsidRPr="005C20E9" w:rsidRDefault="005C20E9" w:rsidP="005C20E9">
      <w:pPr>
        <w:rPr>
          <w:b/>
          <w:u w:val="single"/>
        </w:rPr>
      </w:pPr>
      <w:r w:rsidRPr="005C20E9">
        <w:rPr>
          <w:b/>
          <w:u w:val="single"/>
        </w:rPr>
        <w:t>Utsättning av ASA samt NOAK (nya perorala antikoagulantia)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t>Preparat innehållande ASA (Trombyl) ska sättas ut 3 dagar före operation, d v s sista dos tas 4 dagar före operation, om det ges som primärprofylax. Om ASA ges som sekundärprofylax vid kardiovaskulär sjukdom (instabil</w:t>
      </w:r>
      <w:r w:rsidRPr="005C20E9">
        <w:rPr>
          <w:color w:val="444444"/>
        </w:rPr>
        <w:t xml:space="preserve"> angina pectoris, efter stroke/TIA, hjärtinfarkt, PCI, CABG) </w:t>
      </w:r>
      <w:r w:rsidRPr="005C20E9">
        <w:rPr>
          <w:color w:val="444444"/>
        </w:rPr>
        <w:lastRenderedPageBreak/>
        <w:t xml:space="preserve">rekommenderas utsättning minst 12 timmar före operation (d v s sista tabletten tas på morgonen dagen före operation). Återinsättning postop dag 1 på morgonen. </w:t>
      </w:r>
      <w:r w:rsidRPr="005C20E9">
        <w:rPr>
          <w:color w:val="444444"/>
        </w:rPr>
        <w:br/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rPr>
          <w:b/>
          <w:color w:val="444444"/>
        </w:rPr>
        <w:t>Diklofenak</w:t>
      </w:r>
      <w:r w:rsidRPr="005C20E9">
        <w:rPr>
          <w:color w:val="444444"/>
        </w:rPr>
        <w:t xml:space="preserve"> och </w:t>
      </w:r>
      <w:r w:rsidRPr="005C20E9">
        <w:rPr>
          <w:b/>
          <w:color w:val="444444"/>
        </w:rPr>
        <w:t xml:space="preserve">Ibuprofen </w:t>
      </w:r>
      <w:r w:rsidRPr="005C20E9">
        <w:rPr>
          <w:color w:val="444444"/>
        </w:rPr>
        <w:t>sätts ut 12 timmar före operation, återinsätts på operationsdagen.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rPr>
          <w:b/>
          <w:color w:val="444444"/>
        </w:rPr>
        <w:t xml:space="preserve">Naproxen </w:t>
      </w:r>
      <w:r w:rsidRPr="005C20E9">
        <w:rPr>
          <w:color w:val="444444"/>
        </w:rPr>
        <w:t>sätts ut 48 timmar före operation, återinsätts på operationsdagen.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rPr>
          <w:b/>
          <w:color w:val="444444"/>
        </w:rPr>
        <w:t xml:space="preserve">Clopidogrel (Plavix®) </w:t>
      </w:r>
      <w:r w:rsidRPr="005C20E9">
        <w:rPr>
          <w:color w:val="444444"/>
        </w:rPr>
        <w:t>sätts ut 5 dygn före op, återinsätts när kirurgisk hemostas tillåter.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rPr>
          <w:b/>
          <w:color w:val="444444"/>
        </w:rPr>
        <w:t>Dabigatran (Pradaxa®)</w:t>
      </w:r>
      <w:r w:rsidRPr="005C20E9">
        <w:rPr>
          <w:color w:val="444444"/>
        </w:rPr>
        <w:t xml:space="preserve"> sätts ut 2-5 dygn före op (beroende på GFR, se </w:t>
      </w:r>
      <w:hyperlink r:id="rId8" w:history="1">
        <w:r w:rsidRPr="005C20E9">
          <w:rPr>
            <w:rStyle w:val="Hyperlnk"/>
          </w:rPr>
          <w:t>www.ssth.se</w:t>
        </w:r>
      </w:hyperlink>
      <w:r w:rsidRPr="005C20E9">
        <w:rPr>
          <w:color w:val="444444"/>
        </w:rPr>
        <w:t xml:space="preserve"> för riktlinjer), återinsättning postoperativ dag 3.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rPr>
          <w:b/>
          <w:color w:val="444444"/>
        </w:rPr>
        <w:t>Rivaroxaban (Xarelto®)</w:t>
      </w:r>
      <w:r w:rsidRPr="005C20E9">
        <w:rPr>
          <w:color w:val="444444"/>
        </w:rPr>
        <w:t xml:space="preserve"> sätts ut 2-4 dygn före op (beroende på GFR, se </w:t>
      </w:r>
      <w:hyperlink r:id="rId9" w:history="1">
        <w:r w:rsidRPr="005C20E9">
          <w:rPr>
            <w:rStyle w:val="Hyperlnk"/>
          </w:rPr>
          <w:t>www.ssth.se</w:t>
        </w:r>
      </w:hyperlink>
      <w:r w:rsidRPr="005C20E9">
        <w:rPr>
          <w:color w:val="444444"/>
        </w:rPr>
        <w:t xml:space="preserve"> för riktlinjer), återinsätts postoperativ dag 2-3 beroende på GFR.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rPr>
          <w:b/>
          <w:color w:val="444444"/>
        </w:rPr>
        <w:t>Apixaban (Eliquis®)</w:t>
      </w:r>
      <w:r w:rsidRPr="005C20E9">
        <w:rPr>
          <w:color w:val="444444"/>
        </w:rPr>
        <w:t xml:space="preserve"> sätts ut 2-3 dygn före op (beroende på GFR, se </w:t>
      </w:r>
      <w:hyperlink r:id="rId10" w:history="1">
        <w:r w:rsidRPr="005C20E9">
          <w:rPr>
            <w:rStyle w:val="Hyperlnk"/>
          </w:rPr>
          <w:t>www.ssth.se</w:t>
        </w:r>
      </w:hyperlink>
      <w:r w:rsidRPr="005C20E9">
        <w:rPr>
          <w:color w:val="444444"/>
        </w:rPr>
        <w:t xml:space="preserve"> för riktlinjer), återinsätts postop dag 2-3 beroende på GFR.  </w:t>
      </w:r>
      <w:r w:rsidRPr="005C20E9">
        <w:rPr>
          <w:color w:val="444444"/>
        </w:rPr>
        <w:br/>
        <w:t> </w:t>
      </w:r>
      <w:r w:rsidRPr="005C20E9">
        <w:rPr>
          <w:color w:val="444444"/>
        </w:rPr>
        <w:br/>
      </w:r>
      <w:r w:rsidRPr="005C20E9">
        <w:rPr>
          <w:rStyle w:val="Stark"/>
          <w:color w:val="444444"/>
        </w:rPr>
        <w:t>Ett observandum</w:t>
      </w:r>
      <w:r w:rsidRPr="005C20E9">
        <w:rPr>
          <w:color w:val="444444"/>
        </w:rPr>
        <w:t xml:space="preserve"> är att patienter som har dubbelbehandling med trombocythämmare (ofta ASA + clopidogrel) vanligen har kardiell sjuka med ev stent in situ och för dessa patienter bör i första hand kardiolog/PAL konsulteras för att avgöra hur tung indikation som föreligger och hur uppehåll lämpligen ska göras, i vissa fall görs preparatbyte tillfälligt.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b/>
          <w:color w:val="444444"/>
        </w:rPr>
      </w:pPr>
      <w:r>
        <w:rPr>
          <w:b/>
          <w:color w:val="444444"/>
        </w:rPr>
        <w:br/>
      </w:r>
      <w:r w:rsidRPr="005C20E9">
        <w:rPr>
          <w:b/>
          <w:color w:val="444444"/>
        </w:rPr>
        <w:t>Referenser:</w:t>
      </w:r>
    </w:p>
    <w:p w:rsidR="005C20E9" w:rsidRPr="005C20E9" w:rsidRDefault="00E5536F" w:rsidP="005C20E9">
      <w:pPr>
        <w:pStyle w:val="Normalwebb"/>
        <w:shd w:val="clear" w:color="auto" w:fill="FFFFFF"/>
        <w:spacing w:after="0"/>
        <w:rPr>
          <w:color w:val="444444"/>
        </w:rPr>
      </w:pPr>
      <w:hyperlink r:id="rId11" w:history="1">
        <w:r w:rsidR="005C20E9" w:rsidRPr="005C20E9">
          <w:rPr>
            <w:rStyle w:val="Hyperlnk"/>
          </w:rPr>
          <w:t>www.ssth.se</w:t>
        </w:r>
      </w:hyperlink>
      <w:r w:rsidR="005C20E9" w:rsidRPr="005C20E9">
        <w:rPr>
          <w:color w:val="444444"/>
        </w:rPr>
        <w:t xml:space="preserve">  (svenska sällskapet för trombos och hemostas)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rPr>
          <w:color w:val="444444"/>
        </w:rPr>
        <w:t>www.viss.nu</w:t>
      </w:r>
    </w:p>
    <w:p w:rsidR="005C20E9" w:rsidRPr="005C20E9" w:rsidRDefault="00E5536F" w:rsidP="005C20E9">
      <w:pPr>
        <w:pStyle w:val="Normalwebb"/>
        <w:shd w:val="clear" w:color="auto" w:fill="FFFFFF"/>
        <w:spacing w:after="0"/>
      </w:pPr>
      <w:hyperlink r:id="rId12" w:history="1">
        <w:r w:rsidR="005C20E9" w:rsidRPr="005C20E9">
          <w:rPr>
            <w:rStyle w:val="Hyperlnk"/>
          </w:rPr>
          <w:t>http://vardgivarwebb.regionostergotland.se/Startsida/PM-medicinska-o-vardadm/PM-dokument/Barn--och-Kvinnocentrum/Kvinnoklinikerna-i-Ostergotland/Medicinska-PM/Trombosprofylax---antikoagulationsbehandling-vid-gynekologisk-kirurgi/</w:t>
        </w:r>
      </w:hyperlink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</w:rPr>
      </w:pPr>
      <w:r w:rsidRPr="005C20E9">
        <w:t>Hemostasrubbningar inom obstetrik och gynekologi, ARG rapport nr 68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  <w:lang w:val="en-US"/>
        </w:rPr>
      </w:pPr>
      <w:r w:rsidRPr="005C20E9">
        <w:rPr>
          <w:color w:val="444444"/>
          <w:lang w:val="en-US"/>
        </w:rPr>
        <w:t>Daniel L et al. Prevention of venous thromboembolic events after gynecologic surgery. Clinical expert series. Obstet Gynecol. 2012;119(1):155-167.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  <w:lang w:val="en-US"/>
        </w:rPr>
      </w:pPr>
      <w:r w:rsidRPr="005C20E9">
        <w:rPr>
          <w:color w:val="444444"/>
          <w:lang w:val="en-US"/>
        </w:rPr>
        <w:t xml:space="preserve">David D Rahn et al. Venous thromboembolism prophylaxis in gynecological surgery. Obstet Gynecol. 2011;118(5):1111-1125. </w:t>
      </w:r>
    </w:p>
    <w:p w:rsidR="005C20E9" w:rsidRPr="005C20E9" w:rsidRDefault="005C20E9" w:rsidP="005C20E9">
      <w:pPr>
        <w:pStyle w:val="Normalwebb"/>
        <w:shd w:val="clear" w:color="auto" w:fill="FFFFFF"/>
        <w:spacing w:after="0"/>
        <w:rPr>
          <w:color w:val="444444"/>
          <w:lang w:val="en-US"/>
        </w:rPr>
      </w:pPr>
      <w:r w:rsidRPr="005C20E9">
        <w:rPr>
          <w:color w:val="444444"/>
          <w:lang w:val="en-US"/>
        </w:rPr>
        <w:t xml:space="preserve">Dinger JC et al. The safety of a drospirenone-containing oral contraceptive: final results from the European Active Surveillance Study on oral contraceptives based on 142,475 women-years of observation. Circulation. 2007;75(5):344-54. </w:t>
      </w:r>
    </w:p>
    <w:p w:rsidR="005C20E9" w:rsidRPr="00296B58" w:rsidRDefault="005C20E9" w:rsidP="005C20E9">
      <w:pPr>
        <w:widowControl/>
        <w:rPr>
          <w:sz w:val="28"/>
          <w:szCs w:val="28"/>
        </w:rPr>
      </w:pPr>
    </w:p>
    <w:p w:rsidR="005C20E9" w:rsidRDefault="005C20E9" w:rsidP="005C20E9">
      <w:pPr>
        <w:widowControl/>
        <w:rPr>
          <w:b/>
          <w:sz w:val="28"/>
          <w:szCs w:val="28"/>
        </w:rPr>
      </w:pPr>
    </w:p>
    <w:p w:rsidR="005C20E9" w:rsidRDefault="005C20E9" w:rsidP="005C20E9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5C20E9" w:rsidRDefault="005C20E9" w:rsidP="005C20E9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5C20E9" w:rsidRPr="0073674B" w:rsidTr="008F4C40">
        <w:tc>
          <w:tcPr>
            <w:tcW w:w="1242" w:type="dxa"/>
            <w:shd w:val="clear" w:color="auto" w:fill="D9D9D9" w:themeFill="background1" w:themeFillShade="D9"/>
          </w:tcPr>
          <w:p w:rsidR="005C20E9" w:rsidRPr="0073674B" w:rsidRDefault="005C20E9" w:rsidP="005C20E9">
            <w:pPr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C20E9" w:rsidRPr="0073674B" w:rsidRDefault="005C20E9" w:rsidP="005C20E9">
            <w:pPr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5C20E9" w:rsidRPr="0073674B" w:rsidRDefault="005C20E9" w:rsidP="005C20E9">
            <w:pPr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5C20E9" w:rsidRPr="0073674B" w:rsidRDefault="005C20E9" w:rsidP="005C20E9">
            <w:pPr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9F4B26" w:rsidRPr="0073674B" w:rsidTr="008F4C40">
        <w:tc>
          <w:tcPr>
            <w:tcW w:w="1242" w:type="dxa"/>
          </w:tcPr>
          <w:p w:rsidR="009F4B26" w:rsidRDefault="009F4B26" w:rsidP="005C20E9">
            <w:r>
              <w:t>3</w:t>
            </w:r>
          </w:p>
        </w:tc>
        <w:tc>
          <w:tcPr>
            <w:tcW w:w="1418" w:type="dxa"/>
          </w:tcPr>
          <w:p w:rsidR="009F4B26" w:rsidRDefault="009F4B26" w:rsidP="005C20E9">
            <w:r>
              <w:t>2018-01-08</w:t>
            </w:r>
          </w:p>
        </w:tc>
        <w:tc>
          <w:tcPr>
            <w:tcW w:w="4248" w:type="dxa"/>
          </w:tcPr>
          <w:p w:rsidR="009F4B26" w:rsidRDefault="009F4B26" w:rsidP="005C20E9">
            <w:r>
              <w:t>Förlängning</w:t>
            </w:r>
          </w:p>
        </w:tc>
        <w:tc>
          <w:tcPr>
            <w:tcW w:w="2303" w:type="dxa"/>
          </w:tcPr>
          <w:p w:rsidR="009F4B26" w:rsidRDefault="009F4B26" w:rsidP="005C20E9">
            <w:r>
              <w:t>Michael Algovik</w:t>
            </w:r>
          </w:p>
        </w:tc>
      </w:tr>
      <w:tr w:rsidR="005C20E9" w:rsidRPr="0073674B" w:rsidTr="008F4C40">
        <w:tc>
          <w:tcPr>
            <w:tcW w:w="1242" w:type="dxa"/>
          </w:tcPr>
          <w:p w:rsidR="005C20E9" w:rsidRPr="0073674B" w:rsidRDefault="005C20E9" w:rsidP="005C20E9">
            <w:r>
              <w:t>2</w:t>
            </w:r>
          </w:p>
        </w:tc>
        <w:tc>
          <w:tcPr>
            <w:tcW w:w="1418" w:type="dxa"/>
          </w:tcPr>
          <w:p w:rsidR="005C20E9" w:rsidRPr="0073674B" w:rsidRDefault="005C20E9" w:rsidP="005C20E9">
            <w:r>
              <w:t>2017-11-10</w:t>
            </w:r>
          </w:p>
        </w:tc>
        <w:tc>
          <w:tcPr>
            <w:tcW w:w="4248" w:type="dxa"/>
          </w:tcPr>
          <w:p w:rsidR="005C20E9" w:rsidRPr="0073674B" w:rsidRDefault="005C20E9" w:rsidP="005C20E9">
            <w:r>
              <w:t>Byte till Temastruktur</w:t>
            </w:r>
          </w:p>
        </w:tc>
        <w:tc>
          <w:tcPr>
            <w:tcW w:w="2303" w:type="dxa"/>
          </w:tcPr>
          <w:p w:rsidR="005C20E9" w:rsidRPr="0073674B" w:rsidRDefault="005C20E9" w:rsidP="005C20E9">
            <w:r>
              <w:t>Michael Algovik</w:t>
            </w:r>
          </w:p>
        </w:tc>
      </w:tr>
      <w:tr w:rsidR="005C20E9" w:rsidRPr="0073674B" w:rsidTr="008F4C40">
        <w:tc>
          <w:tcPr>
            <w:tcW w:w="1242" w:type="dxa"/>
          </w:tcPr>
          <w:p w:rsidR="005C20E9" w:rsidRPr="0073674B" w:rsidRDefault="005C20E9" w:rsidP="005C20E9">
            <w:r>
              <w:t>1</w:t>
            </w:r>
          </w:p>
        </w:tc>
        <w:tc>
          <w:tcPr>
            <w:tcW w:w="1418" w:type="dxa"/>
          </w:tcPr>
          <w:p w:rsidR="005C20E9" w:rsidRPr="0073674B" w:rsidRDefault="005C20E9" w:rsidP="005C20E9">
            <w:r>
              <w:t>160311</w:t>
            </w:r>
          </w:p>
        </w:tc>
        <w:tc>
          <w:tcPr>
            <w:tcW w:w="4248" w:type="dxa"/>
          </w:tcPr>
          <w:p w:rsidR="005C20E9" w:rsidRPr="0073674B" w:rsidRDefault="005C20E9" w:rsidP="005C20E9">
            <w:r>
              <w:t>Nytt dokument, Utarbetad av Iris Axelsdottir specialistläkare</w:t>
            </w:r>
          </w:p>
        </w:tc>
        <w:tc>
          <w:tcPr>
            <w:tcW w:w="2303" w:type="dxa"/>
          </w:tcPr>
          <w:p w:rsidR="005C20E9" w:rsidRPr="0073674B" w:rsidRDefault="005C20E9" w:rsidP="005C20E9">
            <w:r>
              <w:t>Gunilla Tegerstedt</w:t>
            </w:r>
          </w:p>
        </w:tc>
      </w:tr>
    </w:tbl>
    <w:p w:rsidR="00ED1C5C" w:rsidRDefault="00ED1C5C" w:rsidP="005C20E9">
      <w:pPr>
        <w:widowControl/>
        <w:rPr>
          <w:b/>
          <w:sz w:val="28"/>
          <w:szCs w:val="28"/>
        </w:rPr>
      </w:pPr>
    </w:p>
    <w:sectPr w:rsidR="00ED1C5C" w:rsidSect="00FE15A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EB" w:rsidRDefault="00BF7EEB" w:rsidP="00F47081">
      <w:r>
        <w:separator/>
      </w:r>
    </w:p>
  </w:endnote>
  <w:endnote w:type="continuationSeparator" w:id="0">
    <w:p w:rsidR="00BF7EEB" w:rsidRDefault="00BF7EEB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E5536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Jessica Stjärnström/Karolinska/SLL;Chatarina Johansson/Karolinska/SLL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E5536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Kar2-11962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E5536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Michael Algovik/Karolinska/SLL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E5536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E5536F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2018-01-08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C5628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5536F">
            <w:rPr>
              <w:rFonts w:asciiTheme="minorHAnsi" w:hAnsiTheme="minorHAnsi"/>
              <w:noProof/>
              <w:sz w:val="16"/>
              <w:szCs w:val="16"/>
            </w:rPr>
            <w:t>2018-02-06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5536F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E5536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Jessica Stjärnström/Karolinska/SLL;Chatarina Johansson/Karolinska/SLL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E5536F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Kar2-11962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E5536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Michael Algovik/Karolinska/SLL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E5536F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E5536F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2018-01-08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C5628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E5536F">
            <w:rPr>
              <w:rFonts w:asciiTheme="minorHAnsi" w:hAnsiTheme="minorHAnsi"/>
              <w:noProof/>
              <w:sz w:val="16"/>
              <w:szCs w:val="16"/>
            </w:rPr>
            <w:t>2018-02-06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E5536F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EB" w:rsidRDefault="00BF7EEB" w:rsidP="00F47081">
      <w:r>
        <w:separator/>
      </w:r>
    </w:p>
  </w:footnote>
  <w:footnote w:type="continuationSeparator" w:id="0">
    <w:p w:rsidR="00BF7EEB" w:rsidRDefault="00BF7EEB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E5536F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C56281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E5536F">
            <w:rPr>
              <w:rFonts w:asciiTheme="minorHAnsi" w:hAnsiTheme="minorHAnsi"/>
              <w:noProof/>
            </w:rPr>
            <w:t>3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E5536F">
            <w:fldChar w:fldCharType="begin"/>
          </w:r>
          <w:r w:rsidR="00E5536F">
            <w:instrText xml:space="preserve"> NUMPAGES  \* MERGEFORMAT </w:instrText>
          </w:r>
          <w:r w:rsidR="00E5536F">
            <w:fldChar w:fldCharType="separate"/>
          </w:r>
          <w:r w:rsidR="00E5536F" w:rsidRPr="00E5536F">
            <w:rPr>
              <w:rFonts w:asciiTheme="minorHAnsi" w:hAnsiTheme="minorHAnsi"/>
              <w:noProof/>
            </w:rPr>
            <w:t>3</w:t>
          </w:r>
          <w:r w:rsidR="00E5536F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3"/>
      <w:gridCol w:w="1295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E5536F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C56281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E5536F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E5536F">
            <w:fldChar w:fldCharType="begin"/>
          </w:r>
          <w:r w:rsidR="00E5536F">
            <w:instrText xml:space="preserve"> NUMPAGES  \* MERGEFORMAT </w:instrText>
          </w:r>
          <w:r w:rsidR="00E5536F">
            <w:fldChar w:fldCharType="separate"/>
          </w:r>
          <w:r w:rsidR="00E5536F" w:rsidRPr="00E5536F">
            <w:rPr>
              <w:rFonts w:asciiTheme="minorHAnsi" w:hAnsiTheme="minorHAnsi"/>
              <w:noProof/>
            </w:rPr>
            <w:t>3</w:t>
          </w:r>
          <w:r w:rsidR="00E5536F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631F"/>
    <w:multiLevelType w:val="hybridMultilevel"/>
    <w:tmpl w:val="E982B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6383"/>
    <w:multiLevelType w:val="hybridMultilevel"/>
    <w:tmpl w:val="D55E36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25829"/>
    <w:multiLevelType w:val="hybridMultilevel"/>
    <w:tmpl w:val="D9C4E0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75020"/>
    <w:multiLevelType w:val="hybridMultilevel"/>
    <w:tmpl w:val="53B02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A575E"/>
    <w:multiLevelType w:val="hybridMultilevel"/>
    <w:tmpl w:val="D876D59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D6089"/>
    <w:multiLevelType w:val="hybridMultilevel"/>
    <w:tmpl w:val="87FA14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0F9E"/>
    <w:rsid w:val="00010352"/>
    <w:rsid w:val="000114E3"/>
    <w:rsid w:val="00015875"/>
    <w:rsid w:val="00046063"/>
    <w:rsid w:val="00046189"/>
    <w:rsid w:val="00047788"/>
    <w:rsid w:val="00047E0F"/>
    <w:rsid w:val="00051851"/>
    <w:rsid w:val="00072F71"/>
    <w:rsid w:val="00080A88"/>
    <w:rsid w:val="00090B26"/>
    <w:rsid w:val="00097170"/>
    <w:rsid w:val="000A6A10"/>
    <w:rsid w:val="000B17EC"/>
    <w:rsid w:val="000B3822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552AB"/>
    <w:rsid w:val="002642CE"/>
    <w:rsid w:val="002769F1"/>
    <w:rsid w:val="002C1CF4"/>
    <w:rsid w:val="002C4C2A"/>
    <w:rsid w:val="002C4EDA"/>
    <w:rsid w:val="002C574A"/>
    <w:rsid w:val="002C57F8"/>
    <w:rsid w:val="002E665F"/>
    <w:rsid w:val="002F6D2D"/>
    <w:rsid w:val="00323C05"/>
    <w:rsid w:val="003311EB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3F93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0E9"/>
    <w:rsid w:val="005C2A6A"/>
    <w:rsid w:val="005C50FF"/>
    <w:rsid w:val="005C7CF9"/>
    <w:rsid w:val="00602275"/>
    <w:rsid w:val="00603ACF"/>
    <w:rsid w:val="00605C27"/>
    <w:rsid w:val="006138C1"/>
    <w:rsid w:val="00624F6F"/>
    <w:rsid w:val="006330C0"/>
    <w:rsid w:val="00663476"/>
    <w:rsid w:val="0066413E"/>
    <w:rsid w:val="00664617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2E14"/>
    <w:rsid w:val="0073674B"/>
    <w:rsid w:val="00750A52"/>
    <w:rsid w:val="00756427"/>
    <w:rsid w:val="00762575"/>
    <w:rsid w:val="00765AF9"/>
    <w:rsid w:val="0076688B"/>
    <w:rsid w:val="00773423"/>
    <w:rsid w:val="007825F9"/>
    <w:rsid w:val="00784D4F"/>
    <w:rsid w:val="00792109"/>
    <w:rsid w:val="007A7CD8"/>
    <w:rsid w:val="007C46E0"/>
    <w:rsid w:val="007C481A"/>
    <w:rsid w:val="007D561A"/>
    <w:rsid w:val="00820E06"/>
    <w:rsid w:val="0083084E"/>
    <w:rsid w:val="0084434C"/>
    <w:rsid w:val="00857AE1"/>
    <w:rsid w:val="008765DF"/>
    <w:rsid w:val="00877AF7"/>
    <w:rsid w:val="00884C34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B07CA"/>
    <w:rsid w:val="009C2F30"/>
    <w:rsid w:val="009D2946"/>
    <w:rsid w:val="009D51B5"/>
    <w:rsid w:val="009E34D9"/>
    <w:rsid w:val="009E6815"/>
    <w:rsid w:val="009F03FB"/>
    <w:rsid w:val="009F4B26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044B"/>
    <w:rsid w:val="00BB2D58"/>
    <w:rsid w:val="00BB74B1"/>
    <w:rsid w:val="00BC2905"/>
    <w:rsid w:val="00BD7647"/>
    <w:rsid w:val="00BF186B"/>
    <w:rsid w:val="00BF7EEB"/>
    <w:rsid w:val="00C11263"/>
    <w:rsid w:val="00C11EF7"/>
    <w:rsid w:val="00C215F0"/>
    <w:rsid w:val="00C27304"/>
    <w:rsid w:val="00C56281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A4158"/>
    <w:rsid w:val="00DE21C5"/>
    <w:rsid w:val="00DF3558"/>
    <w:rsid w:val="00DF3638"/>
    <w:rsid w:val="00E169EE"/>
    <w:rsid w:val="00E21228"/>
    <w:rsid w:val="00E5536F"/>
    <w:rsid w:val="00E63120"/>
    <w:rsid w:val="00E64F96"/>
    <w:rsid w:val="00E7592E"/>
    <w:rsid w:val="00E82565"/>
    <w:rsid w:val="00E94812"/>
    <w:rsid w:val="00E94A0B"/>
    <w:rsid w:val="00EA6533"/>
    <w:rsid w:val="00EB626B"/>
    <w:rsid w:val="00EC191C"/>
    <w:rsid w:val="00EC6562"/>
    <w:rsid w:val="00EC6E22"/>
    <w:rsid w:val="00ED1C5C"/>
    <w:rsid w:val="00ED41EB"/>
    <w:rsid w:val="00ED449D"/>
    <w:rsid w:val="00EE5B69"/>
    <w:rsid w:val="00EE6DF8"/>
    <w:rsid w:val="00EF6425"/>
    <w:rsid w:val="00F0551D"/>
    <w:rsid w:val="00F055D4"/>
    <w:rsid w:val="00F11FD1"/>
    <w:rsid w:val="00F273B9"/>
    <w:rsid w:val="00F62AA2"/>
    <w:rsid w:val="00F8194A"/>
    <w:rsid w:val="00F93951"/>
    <w:rsid w:val="00FB4BA2"/>
    <w:rsid w:val="00FB7D90"/>
    <w:rsid w:val="00FC576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44FA4109-9A5D-4829-BF61-A8B273B9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5C20E9"/>
    <w:rPr>
      <w:color w:val="0088CC"/>
      <w:u w:val="single"/>
      <w:effect w:val="none"/>
    </w:rPr>
  </w:style>
  <w:style w:type="paragraph" w:styleId="Normalwebb">
    <w:name w:val="Normal (Web)"/>
    <w:basedOn w:val="Normal"/>
    <w:uiPriority w:val="99"/>
    <w:unhideWhenUsed/>
    <w:rsid w:val="005C20E9"/>
    <w:pPr>
      <w:widowControl/>
      <w:spacing w:after="150"/>
    </w:pPr>
  </w:style>
  <w:style w:type="paragraph" w:styleId="Liststycke">
    <w:name w:val="List Paragraph"/>
    <w:basedOn w:val="Normal"/>
    <w:uiPriority w:val="34"/>
    <w:qFormat/>
    <w:rsid w:val="005C20E9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Stark">
    <w:name w:val="Strong"/>
    <w:basedOn w:val="Standardstycketeckensnitt"/>
    <w:uiPriority w:val="22"/>
    <w:qFormat/>
    <w:rsid w:val="005C20E9"/>
    <w:rPr>
      <w:b/>
      <w:bCs/>
    </w:rPr>
  </w:style>
  <w:style w:type="character" w:styleId="AnvndHyperlnk">
    <w:name w:val="FollowedHyperlink"/>
    <w:basedOn w:val="Standardstycketeckensnitt"/>
    <w:uiPriority w:val="99"/>
    <w:semiHidden/>
    <w:unhideWhenUsed/>
    <w:rsid w:val="009F4B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th.s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ardgivarwebb.regionostergotland.se/Startsida/PM-medicinska-o-vardadm/PM-dokument/Barn--och-Kvinnocentrum/Kvinnoklinikerna-i-Ostergotland/Medicinska-PM/Trombosprofylax---antikoagulationsbehandling-vid-gynekologisk-kirurg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sth.s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ssth.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th.s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D6C83-0514-42E0-B22C-24A8ABE6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1072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Michael Algovik</cp:lastModifiedBy>
  <cp:revision>13</cp:revision>
  <cp:lastPrinted>2005-03-23T12:04:00Z</cp:lastPrinted>
  <dcterms:created xsi:type="dcterms:W3CDTF">2016-10-05T08:43:00Z</dcterms:created>
  <dcterms:modified xsi:type="dcterms:W3CDTF">2018-02-06T12:42:00Z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Disabled</vt:lpwstr>
  </property>
  <property fmtid="{D5CDD505-2E9C-101B-9397-08002B2CF9AE}" pid="3" name="SW_CustomTitle">
    <vt:lpwstr/>
  </property>
</Properties>
</file>