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6CB0" w:rsidRDefault="008B6CB0">
      <w:pPr>
        <w:pStyle w:val="Rubrik1"/>
        <w:rPr>
          <w:lang w:val="en-US"/>
        </w:rPr>
      </w:pPr>
      <w:bookmarkStart w:id="0" w:name="Rubrik"/>
    </w:p>
    <w:p w:rsidR="008C2B03" w:rsidRPr="00BA3DB1" w:rsidRDefault="00BB044B">
      <w:pPr>
        <w:pStyle w:val="Rubrik1"/>
      </w:pPr>
      <w:r>
        <w:rPr>
          <w:lang w:val="en-US"/>
        </w:rPr>
        <w:fldChar w:fldCharType="begin">
          <w:ffData>
            <w:name w:val="Rubrik"/>
            <w:enabled/>
            <w:calcOnExit w:val="0"/>
            <w:textInput>
              <w:default w:val="Hyperprolaktinemi och prolaktinom"/>
            </w:textInput>
          </w:ffData>
        </w:fldChar>
      </w:r>
      <w:r w:rsidR="00BA3DB1" w:rsidRPr="00BA3DB1">
        <w:instrText xml:space="preserve"> FORMTEXT </w:instrText>
      </w:r>
      <w:r w:rsidR="00D973B2">
        <w:rPr>
          <w:lang w:val="en-US"/>
        </w:rPr>
      </w:r>
      <w:r>
        <w:rPr>
          <w:lang w:val="en-US"/>
        </w:rPr>
        <w:fldChar w:fldCharType="separate"/>
      </w:r>
      <w:r w:rsidR="00D973B2">
        <w:rPr>
          <w:lang w:val="en-US"/>
        </w:rPr>
        <w:t>Hyperprolaktinemi och prolaktinom</w:t>
      </w:r>
      <w:r>
        <w:rPr>
          <w:lang w:val="en-US"/>
        </w:rPr>
        <w:fldChar w:fldCharType="end"/>
      </w:r>
      <w:bookmarkEnd w:id="0"/>
      <w:r w:rsidR="005253BF" w:rsidRPr="00BA3DB1">
        <w:t xml:space="preserve"> </w:t>
      </w:r>
    </w:p>
    <w:p w:rsidR="009D2946" w:rsidRPr="00046189" w:rsidRDefault="009D2946" w:rsidP="00730505"/>
    <w:p w:rsidR="003A253B" w:rsidRPr="007923FD" w:rsidRDefault="003A253B" w:rsidP="003A253B">
      <w:pPr>
        <w:pStyle w:val="Rubrik1"/>
        <w:jc w:val="both"/>
      </w:pPr>
      <w:r w:rsidRPr="00767BF5">
        <w:t>Bakgrund</w:t>
      </w:r>
    </w:p>
    <w:p w:rsidR="003A253B" w:rsidRDefault="003A253B" w:rsidP="003A253B">
      <w:pPr>
        <w:jc w:val="both"/>
      </w:pPr>
      <w:r>
        <w:t>Förhöjt prolaktin i serum, dvs hyperprolaktinemi, orsakas i de flesta fall av en benign tumör i hypofysen, sk p</w:t>
      </w:r>
      <w:r w:rsidRPr="00767BF5">
        <w:t>rolaktinom som leder till en ökad produktion av prolaktin från de laktotrofa cellerna</w:t>
      </w:r>
      <w:r>
        <w:t xml:space="preserve"> i adenohypofysen</w:t>
      </w:r>
      <w:r w:rsidRPr="00767BF5">
        <w:t>. Incidens</w:t>
      </w:r>
      <w:r>
        <w:t xml:space="preserve"> av prolaktinom</w:t>
      </w:r>
      <w:r w:rsidRPr="00767BF5">
        <w:t>: 1,6–2,2/100 000 personår (Sverige resp. Finland) och prevalens 44</w:t>
      </w:r>
      <w:r w:rsidRPr="00767BF5">
        <w:noBreakHyphen/>
        <w:t>62/100 000 (Storbritannien, Belgien). Medelålder vid diagnos är cirka 30 år för kvinnor och 40 år för män. Fler kvinnor än män diagnosticeras</w:t>
      </w:r>
      <w:r>
        <w:t xml:space="preserve"> därför att symtomen är mer uppenbara hos kvinnor</w:t>
      </w:r>
      <w:r w:rsidRPr="00767BF5">
        <w:t>.</w:t>
      </w:r>
      <w:r>
        <w:t xml:space="preserve"> I ca en tredjedel av fallen vid förhöjt prolaktin kan man dock inte påvisa någon hypofystumör eller annan bakomliggande orsak till hyperprolaktinemin. Ett sådant tillstånd kallas för idiopatisk hyperprolaktinemi och som vid symtom också kan behöva behandlas.</w:t>
      </w:r>
    </w:p>
    <w:p w:rsidR="003A253B" w:rsidRDefault="003A253B" w:rsidP="003A253B">
      <w:pPr>
        <w:jc w:val="both"/>
      </w:pPr>
      <w:r>
        <w:t xml:space="preserve"> </w:t>
      </w:r>
    </w:p>
    <w:p w:rsidR="003A253B" w:rsidRDefault="003A253B" w:rsidP="003A253B">
      <w:pPr>
        <w:jc w:val="both"/>
      </w:pPr>
      <w:r w:rsidRPr="00767BF5">
        <w:t xml:space="preserve">Symtomen vid prolaktinom orsakas av de förhöjda nivåerna av prolaktin i blodet eller av att tumören i sig kan trycka på omgivande strukturer och </w:t>
      </w:r>
      <w:r>
        <w:t xml:space="preserve">i uttalade fall </w:t>
      </w:r>
      <w:r w:rsidRPr="00767BF5">
        <w:t xml:space="preserve">ge synfältspåverkan och huvudvärk. De vanligaste symtomen </w:t>
      </w:r>
      <w:r>
        <w:t xml:space="preserve">vid hyperprolaktinemi/prolaktinom </w:t>
      </w:r>
      <w:r w:rsidRPr="00767BF5">
        <w:t>är menstruationsrubbning</w:t>
      </w:r>
      <w:r>
        <w:t>ar (oligo- eller amenorré)</w:t>
      </w:r>
      <w:r w:rsidRPr="00767BF5">
        <w:t xml:space="preserve">, sänkt libido och infertilitet. </w:t>
      </w:r>
      <w:r>
        <w:t>P</w:t>
      </w:r>
      <w:r w:rsidRPr="00767BF5">
        <w:t>sykiska symtom</w:t>
      </w:r>
      <w:r>
        <w:t xml:space="preserve"> förekommer också som</w:t>
      </w:r>
      <w:r w:rsidRPr="00767BF5">
        <w:t xml:space="preserve"> koncentrationssvår</w:t>
      </w:r>
      <w:r>
        <w:t>igheter, oro och nedsatt minne. Svullnadskänsla och vätskeretention samt</w:t>
      </w:r>
      <w:r w:rsidRPr="00767BF5">
        <w:t xml:space="preserve"> mjölkproduktion från brösten</w:t>
      </w:r>
      <w:r>
        <w:t xml:space="preserve"> </w:t>
      </w:r>
      <w:r w:rsidRPr="00767BF5">
        <w:t>(galaktorré)</w:t>
      </w:r>
      <w:r>
        <w:t xml:space="preserve"> förekommer i ca hälften av fallen. Trycksymtom är ovanligt då m</w:t>
      </w:r>
      <w:r w:rsidRPr="00767BF5">
        <w:t>ajoriteten av prolaktinomen är små (</w:t>
      </w:r>
      <w:r>
        <w:t>≤</w:t>
      </w:r>
      <w:r w:rsidRPr="00767BF5">
        <w:t>1 cm</w:t>
      </w:r>
      <w:r>
        <w:t xml:space="preserve"> mikroadenom</w:t>
      </w:r>
      <w:r w:rsidRPr="00767BF5">
        <w:t xml:space="preserve">). </w:t>
      </w:r>
      <w:r>
        <w:t>Makroadenom&gt; 1 cm bör handläggas i samråd med endokrinolog.</w:t>
      </w:r>
    </w:p>
    <w:p w:rsidR="003A253B" w:rsidRDefault="003A253B" w:rsidP="003A253B">
      <w:pPr>
        <w:tabs>
          <w:tab w:val="left" w:pos="181"/>
        </w:tabs>
        <w:jc w:val="both"/>
      </w:pPr>
    </w:p>
    <w:p w:rsidR="003A253B" w:rsidRPr="00522570" w:rsidRDefault="003A253B" w:rsidP="003A253B">
      <w:pPr>
        <w:pStyle w:val="Rubrik1"/>
        <w:jc w:val="both"/>
      </w:pPr>
      <w:r w:rsidRPr="00522570">
        <w:t>Utredning</w:t>
      </w:r>
    </w:p>
    <w:p w:rsidR="003A253B" w:rsidRPr="007923FD" w:rsidRDefault="003A253B" w:rsidP="003A253B">
      <w:pPr>
        <w:jc w:val="both"/>
        <w:rPr>
          <w:b/>
          <w:color w:val="000000" w:themeColor="text1"/>
        </w:rPr>
      </w:pPr>
      <w:r w:rsidRPr="00F27CB9">
        <w:rPr>
          <w:b/>
          <w:color w:val="000000" w:themeColor="text1"/>
        </w:rPr>
        <w:t xml:space="preserve">Anamnes </w:t>
      </w:r>
    </w:p>
    <w:p w:rsidR="003A253B" w:rsidRDefault="003A253B" w:rsidP="003A253B">
      <w:pPr>
        <w:jc w:val="both"/>
      </w:pPr>
      <w:r>
        <w:rPr>
          <w:color w:val="191919"/>
        </w:rPr>
        <w:t>Uteslut amning och graviditet. F</w:t>
      </w:r>
      <w:r w:rsidRPr="00767BF5">
        <w:rPr>
          <w:color w:val="191919"/>
        </w:rPr>
        <w:t>lertalet läkemedelsbehandlingar (</w:t>
      </w:r>
      <w:r w:rsidRPr="00767BF5">
        <w:t>särskilt neuroleptika, H2-antagonister</w:t>
      </w:r>
      <w:r>
        <w:t xml:space="preserve">, antiemetika och opioider) ger hyperprolaktinemi. Hög lakritskonsumtion kan också ge hyperprolaktinemi. Likaså kan kronisk njursvikt, grav leversvikt eller kortisolsvikt leda till förhöjda serumnivåer av prolaktin beroende på förändrad metabolism av prolaktin. </w:t>
      </w:r>
    </w:p>
    <w:p w:rsidR="003A253B" w:rsidRDefault="003A253B" w:rsidP="003A253B">
      <w:pPr>
        <w:tabs>
          <w:tab w:val="left" w:pos="181"/>
        </w:tabs>
        <w:jc w:val="both"/>
      </w:pPr>
    </w:p>
    <w:p w:rsidR="003A253B" w:rsidRDefault="003A253B" w:rsidP="003A253B">
      <w:pPr>
        <w:tabs>
          <w:tab w:val="left" w:pos="181"/>
        </w:tabs>
        <w:jc w:val="both"/>
        <w:rPr>
          <w:b/>
        </w:rPr>
      </w:pPr>
      <w:r>
        <w:rPr>
          <w:b/>
        </w:rPr>
        <w:t>Status</w:t>
      </w:r>
    </w:p>
    <w:p w:rsidR="003A253B" w:rsidRDefault="003A253B" w:rsidP="003A253B">
      <w:pPr>
        <w:tabs>
          <w:tab w:val="left" w:pos="181"/>
        </w:tabs>
        <w:jc w:val="both"/>
      </w:pPr>
      <w:r>
        <w:t>Bröst – Galaktorré? Går att framkalla genom att försiktigt klämma på vårtgården och pressa fram sekretion. Gynekologiskt ultraljud – Obs! Samtidig PCO/PCOS utesluter ej prolaktinom.</w:t>
      </w:r>
    </w:p>
    <w:p w:rsidR="003A253B" w:rsidRPr="00767BF5" w:rsidRDefault="003A253B" w:rsidP="003A253B">
      <w:pPr>
        <w:rPr>
          <w:b/>
          <w:color w:val="191919"/>
        </w:rPr>
      </w:pPr>
    </w:p>
    <w:p w:rsidR="003A253B" w:rsidRDefault="003A253B" w:rsidP="003A253B">
      <w:pPr>
        <w:rPr>
          <w:b/>
        </w:rPr>
      </w:pPr>
      <w:r>
        <w:rPr>
          <w:b/>
        </w:rPr>
        <w:t>Hormonutredning</w:t>
      </w:r>
      <w:r w:rsidRPr="00E56752">
        <w:rPr>
          <w:b/>
        </w:rPr>
        <w:t xml:space="preserve"> </w:t>
      </w:r>
    </w:p>
    <w:p w:rsidR="003A253B" w:rsidRDefault="003A253B" w:rsidP="003A253B">
      <w:pPr>
        <w:rPr>
          <w:b/>
        </w:rPr>
      </w:pPr>
    </w:p>
    <w:tbl>
      <w:tblPr>
        <w:tblStyle w:val="Tabellrutnt"/>
        <w:tblW w:w="0" w:type="auto"/>
        <w:tblLook w:val="04A0" w:firstRow="1" w:lastRow="0" w:firstColumn="1" w:lastColumn="0" w:noHBand="0" w:noVBand="1"/>
      </w:tblPr>
      <w:tblGrid>
        <w:gridCol w:w="4531"/>
        <w:gridCol w:w="4531"/>
      </w:tblGrid>
      <w:tr w:rsidR="003A253B" w:rsidTr="00B2175A">
        <w:tc>
          <w:tcPr>
            <w:tcW w:w="4531" w:type="dxa"/>
          </w:tcPr>
          <w:p w:rsidR="003A253B" w:rsidRPr="004A1DA7" w:rsidRDefault="003A253B" w:rsidP="00B2175A">
            <w:pPr>
              <w:rPr>
                <w:b/>
              </w:rPr>
            </w:pPr>
            <w:r w:rsidRPr="004A1DA7">
              <w:rPr>
                <w:b/>
              </w:rPr>
              <w:t>Utesluta graviditet</w:t>
            </w:r>
          </w:p>
        </w:tc>
        <w:tc>
          <w:tcPr>
            <w:tcW w:w="4531" w:type="dxa"/>
          </w:tcPr>
          <w:p w:rsidR="003A253B" w:rsidRDefault="003A253B" w:rsidP="00B2175A">
            <w:r w:rsidRPr="004A1DA7">
              <w:t>Graviditetstest</w:t>
            </w:r>
          </w:p>
        </w:tc>
      </w:tr>
      <w:tr w:rsidR="003A253B" w:rsidTr="00B2175A">
        <w:trPr>
          <w:trHeight w:val="680"/>
        </w:trPr>
        <w:tc>
          <w:tcPr>
            <w:tcW w:w="4531" w:type="dxa"/>
          </w:tcPr>
          <w:p w:rsidR="003A253B" w:rsidRPr="004A1DA7" w:rsidRDefault="003A253B" w:rsidP="00B2175A">
            <w:pPr>
              <w:rPr>
                <w:b/>
              </w:rPr>
            </w:pPr>
            <w:r w:rsidRPr="004A1DA7">
              <w:rPr>
                <w:b/>
              </w:rPr>
              <w:t>Hyperprolaktinemi</w:t>
            </w:r>
          </w:p>
        </w:tc>
        <w:tc>
          <w:tcPr>
            <w:tcW w:w="4531" w:type="dxa"/>
          </w:tcPr>
          <w:p w:rsidR="003A253B" w:rsidRPr="004A1DA7" w:rsidRDefault="003A253B" w:rsidP="00B2175A">
            <w:pPr>
              <w:jc w:val="both"/>
              <w:rPr>
                <w:color w:val="191919"/>
              </w:rPr>
            </w:pPr>
            <w:r>
              <w:t xml:space="preserve">Förhöjt </w:t>
            </w:r>
            <w:r w:rsidRPr="00BC26E6">
              <w:t>S-Prolaktin</w:t>
            </w:r>
            <w:r>
              <w:t xml:space="preserve"> </w:t>
            </w:r>
            <w:r w:rsidRPr="00767BF5">
              <w:t>(</w:t>
            </w:r>
            <w:r>
              <w:t xml:space="preserve">lågmolekylärt prolaktin) vid två tillfällen </w:t>
            </w:r>
          </w:p>
        </w:tc>
      </w:tr>
      <w:tr w:rsidR="003A253B" w:rsidRPr="001C7479" w:rsidTr="00B2175A">
        <w:tc>
          <w:tcPr>
            <w:tcW w:w="4531" w:type="dxa"/>
          </w:tcPr>
          <w:p w:rsidR="003A253B" w:rsidRPr="004A1DA7" w:rsidRDefault="003A253B" w:rsidP="00B2175A">
            <w:pPr>
              <w:rPr>
                <w:b/>
              </w:rPr>
            </w:pPr>
            <w:r w:rsidRPr="004A1DA7">
              <w:rPr>
                <w:b/>
              </w:rPr>
              <w:t>Gonadaxeln</w:t>
            </w:r>
          </w:p>
        </w:tc>
        <w:tc>
          <w:tcPr>
            <w:tcW w:w="4531" w:type="dxa"/>
          </w:tcPr>
          <w:p w:rsidR="003A253B" w:rsidRPr="004A1DA7" w:rsidRDefault="003A253B" w:rsidP="00B2175A">
            <w:pPr>
              <w:rPr>
                <w:lang w:val="en-US"/>
              </w:rPr>
            </w:pPr>
            <w:r w:rsidRPr="004A1DA7">
              <w:rPr>
                <w:lang w:val="en-US"/>
              </w:rPr>
              <w:t>S-LH, S-FSH samt S-Östradiol</w:t>
            </w:r>
          </w:p>
        </w:tc>
      </w:tr>
      <w:tr w:rsidR="003A253B" w:rsidRPr="004A1DA7" w:rsidTr="00B2175A">
        <w:tc>
          <w:tcPr>
            <w:tcW w:w="4531" w:type="dxa"/>
          </w:tcPr>
          <w:p w:rsidR="003A253B" w:rsidRPr="004A1DA7" w:rsidRDefault="003A253B" w:rsidP="00B2175A">
            <w:pPr>
              <w:rPr>
                <w:b/>
              </w:rPr>
            </w:pPr>
            <w:r>
              <w:rPr>
                <w:b/>
              </w:rPr>
              <w:t>P</w:t>
            </w:r>
            <w:r w:rsidRPr="004A1DA7">
              <w:rPr>
                <w:b/>
              </w:rPr>
              <w:t>rimär hypotyreos</w:t>
            </w:r>
          </w:p>
        </w:tc>
        <w:tc>
          <w:tcPr>
            <w:tcW w:w="4531" w:type="dxa"/>
          </w:tcPr>
          <w:p w:rsidR="003A253B" w:rsidRPr="004A1DA7" w:rsidRDefault="003A253B" w:rsidP="00B2175A">
            <w:r w:rsidRPr="004A1DA7">
              <w:t xml:space="preserve">S-TSH, fritt T4, </w:t>
            </w:r>
            <w:r>
              <w:t>f</w:t>
            </w:r>
            <w:r w:rsidRPr="004A1DA7">
              <w:t>ritt T3</w:t>
            </w:r>
          </w:p>
        </w:tc>
      </w:tr>
    </w:tbl>
    <w:p w:rsidR="003A253B" w:rsidRDefault="003A253B" w:rsidP="003A253B"/>
    <w:p w:rsidR="003A253B" w:rsidRDefault="003A253B" w:rsidP="003A253B">
      <w:pPr>
        <w:jc w:val="both"/>
      </w:pPr>
      <w:r>
        <w:t xml:space="preserve">För optimal provtagning bör blodprov för </w:t>
      </w:r>
      <w:r w:rsidRPr="00767BF5">
        <w:t>S-Prolaktin</w:t>
      </w:r>
      <w:r>
        <w:t xml:space="preserve"> tas 3 timmar efter uppvaknande och under </w:t>
      </w:r>
      <w:bookmarkStart w:id="1" w:name="_GoBack"/>
      <w:bookmarkEnd w:id="1"/>
      <w:r>
        <w:lastRenderedPageBreak/>
        <w:t>avstressade förhållanden, då man annars kan få falskt förhöjda värden.</w:t>
      </w:r>
    </w:p>
    <w:p w:rsidR="003A253B" w:rsidRDefault="003A253B" w:rsidP="003A253B">
      <w:pPr>
        <w:jc w:val="both"/>
      </w:pPr>
    </w:p>
    <w:p w:rsidR="003A253B" w:rsidRPr="00A41EBE" w:rsidRDefault="003A253B" w:rsidP="003A253B">
      <w:pPr>
        <w:keepNext/>
        <w:rPr>
          <w:rFonts w:eastAsiaTheme="minorHAnsi"/>
          <w:b/>
          <w:lang w:eastAsia="en-US"/>
        </w:rPr>
      </w:pPr>
      <w:r w:rsidRPr="00A41EBE">
        <w:rPr>
          <w:rFonts w:eastAsiaTheme="minorHAnsi"/>
          <w:b/>
          <w:lang w:eastAsia="en-US"/>
        </w:rPr>
        <w:t xml:space="preserve">Nivådiagnostik </w:t>
      </w:r>
    </w:p>
    <w:p w:rsidR="003A253B" w:rsidRDefault="003A253B" w:rsidP="003A253B">
      <w:pPr>
        <w:keepNext/>
        <w:rPr>
          <w:rFonts w:eastAsiaTheme="minorHAnsi"/>
          <w:lang w:eastAsia="en-US"/>
        </w:rPr>
      </w:pPr>
      <w:r>
        <w:t>Låga nivåer av framförallt LH i kombination med förhöjt prolaktin (&gt; 496 mIE/mL), med eller utan galaktorré, ska utredas vidare med MRT sella för uteslutande av prolaktinom</w:t>
      </w:r>
      <w:r w:rsidRPr="00AF7BCB">
        <w:t xml:space="preserve">. </w:t>
      </w:r>
      <w:r>
        <w:t>Samtidig förhöjning av TSH (&gt; 4 mE/L) kan innebära hypothyreos med sekundär hyperprolaktinemi.</w:t>
      </w:r>
    </w:p>
    <w:p w:rsidR="003A253B" w:rsidRPr="00767BF5" w:rsidRDefault="003A253B" w:rsidP="003A253B"/>
    <w:p w:rsidR="003A253B" w:rsidRPr="00740138" w:rsidRDefault="003A253B" w:rsidP="003A253B">
      <w:pPr>
        <w:rPr>
          <w:b/>
        </w:rPr>
      </w:pPr>
      <w:r w:rsidRPr="00740138">
        <w:rPr>
          <w:b/>
        </w:rPr>
        <w:t>Topisk u</w:t>
      </w:r>
      <w:r>
        <w:rPr>
          <w:b/>
        </w:rPr>
        <w:t>ndersökning</w:t>
      </w:r>
    </w:p>
    <w:p w:rsidR="003A253B" w:rsidRPr="00767BF5" w:rsidRDefault="003A253B" w:rsidP="003A253B">
      <w:r w:rsidRPr="00767BF5">
        <w:t xml:space="preserve">MRT </w:t>
      </w:r>
      <w:r>
        <w:t>sella är förstahandsmetod för att påvisa ev hypofysadenom, annars</w:t>
      </w:r>
      <w:r w:rsidRPr="00767BF5">
        <w:t xml:space="preserve"> CT vid kontraindikation till MRT</w:t>
      </w:r>
      <w:r>
        <w:t>.</w:t>
      </w:r>
    </w:p>
    <w:p w:rsidR="003A253B" w:rsidRPr="00740138" w:rsidRDefault="003A253B" w:rsidP="003A253B">
      <w:pPr>
        <w:rPr>
          <w:b/>
        </w:rPr>
      </w:pPr>
    </w:p>
    <w:p w:rsidR="003A253B" w:rsidRPr="00740138" w:rsidRDefault="003A253B" w:rsidP="003A253B">
      <w:pPr>
        <w:rPr>
          <w:b/>
          <w:i/>
        </w:rPr>
      </w:pPr>
      <w:r w:rsidRPr="00740138">
        <w:rPr>
          <w:b/>
        </w:rPr>
        <w:t>Vid ögonsymptom och/eller makroadenom</w:t>
      </w:r>
      <w:r>
        <w:rPr>
          <w:b/>
        </w:rPr>
        <w:t xml:space="preserve"> på MRT</w:t>
      </w:r>
      <w:r w:rsidRPr="00740138">
        <w:rPr>
          <w:b/>
          <w:i/>
        </w:rPr>
        <w:t xml:space="preserve"> </w:t>
      </w:r>
    </w:p>
    <w:p w:rsidR="003A253B" w:rsidRPr="00740138" w:rsidRDefault="003A253B" w:rsidP="003A253B">
      <w:r>
        <w:t>Remiss till ögonmottagning för v</w:t>
      </w:r>
      <w:r w:rsidRPr="00740138">
        <w:t>isus och synfältsundersökning</w:t>
      </w:r>
      <w:r>
        <w:t>.</w:t>
      </w:r>
    </w:p>
    <w:p w:rsidR="003A253B" w:rsidRPr="00767BF5" w:rsidRDefault="003A253B" w:rsidP="003A253B">
      <w:pPr>
        <w:tabs>
          <w:tab w:val="left" w:pos="181"/>
        </w:tabs>
      </w:pPr>
    </w:p>
    <w:p w:rsidR="003A253B" w:rsidRPr="0007799F" w:rsidRDefault="003A253B" w:rsidP="003A253B">
      <w:pPr>
        <w:rPr>
          <w:b/>
        </w:rPr>
      </w:pPr>
      <w:r w:rsidRPr="00767BF5">
        <w:rPr>
          <w:b/>
        </w:rPr>
        <w:t>Tolkning</w:t>
      </w:r>
      <w:r>
        <w:rPr>
          <w:b/>
        </w:rPr>
        <w:t xml:space="preserve"> </w:t>
      </w:r>
    </w:p>
    <w:p w:rsidR="003A253B" w:rsidRPr="0007799F" w:rsidRDefault="003A253B" w:rsidP="003A253B">
      <w:pPr>
        <w:pStyle w:val="Liststycke"/>
        <w:numPr>
          <w:ilvl w:val="0"/>
          <w:numId w:val="1"/>
        </w:numPr>
        <w:jc w:val="both"/>
        <w:rPr>
          <w:rFonts w:ascii="Times New Roman" w:hAnsi="Times New Roman" w:cs="Times New Roman"/>
          <w:color w:val="191919"/>
        </w:rPr>
      </w:pPr>
      <w:r w:rsidRPr="00C87DF5">
        <w:rPr>
          <w:rFonts w:ascii="Times New Roman" w:hAnsi="Times New Roman" w:cs="Times New Roman"/>
          <w:bCs/>
          <w:color w:val="191919"/>
        </w:rPr>
        <w:t>H</w:t>
      </w:r>
      <w:r w:rsidRPr="00C87DF5">
        <w:rPr>
          <w:rFonts w:ascii="Times New Roman" w:hAnsi="Times New Roman" w:cs="Times New Roman"/>
          <w:color w:val="191919"/>
        </w:rPr>
        <w:t>yperprolaktinemi och synlig hypofystumör: vid prolaktinom ses en korrelation mellan prolaktinnivå och tumörstorlek</w:t>
      </w:r>
      <w:r>
        <w:rPr>
          <w:rFonts w:ascii="Times New Roman" w:hAnsi="Times New Roman" w:cs="Times New Roman"/>
          <w:color w:val="191919"/>
        </w:rPr>
        <w:t xml:space="preserve">. Makroadenom i kombination med endast lätt förhöjning av prolaktin talar emot prolaktinom och bör remitteras vidare till endokrinolog för fortsatt utredning. Det kan då röra sig om en </w:t>
      </w:r>
      <w:r w:rsidRPr="0007799F">
        <w:rPr>
          <w:rFonts w:ascii="Times New Roman" w:hAnsi="Times New Roman" w:cs="Times New Roman"/>
          <w:color w:val="191919"/>
        </w:rPr>
        <w:t>kliniskt inaktiv hypofystumör</w:t>
      </w:r>
      <w:r>
        <w:rPr>
          <w:rFonts w:ascii="Times New Roman" w:hAnsi="Times New Roman" w:cs="Times New Roman"/>
          <w:color w:val="191919"/>
        </w:rPr>
        <w:t xml:space="preserve"> eller blandtumör som också producerar tillväxthormon, kortisol eller </w:t>
      </w:r>
      <w:r w:rsidRPr="0007799F">
        <w:rPr>
          <w:rFonts w:ascii="Times New Roman" w:hAnsi="Times New Roman" w:cs="Times New Roman"/>
          <w:color w:val="191919"/>
        </w:rPr>
        <w:t>TSH</w:t>
      </w:r>
      <w:r>
        <w:rPr>
          <w:rFonts w:ascii="Times New Roman" w:hAnsi="Times New Roman" w:cs="Times New Roman"/>
          <w:color w:val="191919"/>
        </w:rPr>
        <w:t>.</w:t>
      </w:r>
    </w:p>
    <w:p w:rsidR="003A253B" w:rsidRPr="00C87DF5" w:rsidRDefault="003A253B" w:rsidP="003A253B">
      <w:pPr>
        <w:pStyle w:val="Liststycke"/>
        <w:numPr>
          <w:ilvl w:val="0"/>
          <w:numId w:val="1"/>
        </w:numPr>
        <w:jc w:val="both"/>
        <w:rPr>
          <w:rFonts w:ascii="Times New Roman" w:hAnsi="Times New Roman" w:cs="Times New Roman"/>
          <w:color w:val="191919"/>
        </w:rPr>
      </w:pPr>
      <w:r w:rsidRPr="00C87DF5">
        <w:rPr>
          <w:rFonts w:ascii="Times New Roman" w:hAnsi="Times New Roman" w:cs="Times New Roman"/>
          <w:color w:val="191919"/>
        </w:rPr>
        <w:t>Hyperprolaktinemi utan synligt adenom: uteslut annan förklaring till hyperprolaktinemi</w:t>
      </w:r>
      <w:r>
        <w:rPr>
          <w:rFonts w:ascii="Times New Roman" w:hAnsi="Times New Roman" w:cs="Times New Roman"/>
          <w:color w:val="191919"/>
        </w:rPr>
        <w:t xml:space="preserve"> (se anamnes och differentialdiagnoser)</w:t>
      </w:r>
      <w:r w:rsidRPr="00C87DF5">
        <w:rPr>
          <w:rFonts w:ascii="Times New Roman" w:hAnsi="Times New Roman" w:cs="Times New Roman"/>
          <w:color w:val="191919"/>
        </w:rPr>
        <w:t xml:space="preserve">, överväg behandlingsförsök </w:t>
      </w:r>
      <w:r>
        <w:rPr>
          <w:rFonts w:ascii="Times New Roman" w:hAnsi="Times New Roman" w:cs="Times New Roman"/>
          <w:color w:val="191919"/>
        </w:rPr>
        <w:t>samt uteslut</w:t>
      </w:r>
      <w:r w:rsidRPr="00C87DF5">
        <w:rPr>
          <w:rFonts w:ascii="Times New Roman" w:hAnsi="Times New Roman" w:cs="Times New Roman"/>
          <w:color w:val="191919"/>
        </w:rPr>
        <w:t xml:space="preserve"> makroprolaktin.</w:t>
      </w:r>
    </w:p>
    <w:p w:rsidR="003A253B" w:rsidRPr="00FE10CF" w:rsidRDefault="003A253B" w:rsidP="003A253B">
      <w:pPr>
        <w:jc w:val="both"/>
        <w:rPr>
          <w:color w:val="191919"/>
        </w:rPr>
      </w:pPr>
    </w:p>
    <w:p w:rsidR="003A253B" w:rsidRPr="00767BF5" w:rsidRDefault="003A253B" w:rsidP="003A253B">
      <w:pPr>
        <w:jc w:val="both"/>
        <w:rPr>
          <w:b/>
          <w:color w:val="191919"/>
        </w:rPr>
      </w:pPr>
      <w:r>
        <w:rPr>
          <w:b/>
          <w:color w:val="191919"/>
        </w:rPr>
        <w:t>H</w:t>
      </w:r>
      <w:r w:rsidRPr="00767BF5">
        <w:rPr>
          <w:b/>
          <w:color w:val="191919"/>
        </w:rPr>
        <w:t>yperprolaktinemi</w:t>
      </w:r>
      <w:r>
        <w:rPr>
          <w:b/>
          <w:color w:val="191919"/>
        </w:rPr>
        <w:t xml:space="preserve"> utan symtom</w:t>
      </w:r>
    </w:p>
    <w:p w:rsidR="003A253B" w:rsidRDefault="003A253B" w:rsidP="003A253B">
      <w:pPr>
        <w:tabs>
          <w:tab w:val="left" w:pos="181"/>
        </w:tabs>
        <w:jc w:val="both"/>
      </w:pPr>
      <w:r w:rsidRPr="00767BF5">
        <w:rPr>
          <w:color w:val="191919"/>
        </w:rPr>
        <w:t>Om man finner förhöjda serumprolaktinnivåer men patienten saknar symtom på hyperprolaktinemi</w:t>
      </w:r>
      <w:r>
        <w:rPr>
          <w:color w:val="191919"/>
        </w:rPr>
        <w:t>,</w:t>
      </w:r>
      <w:r w:rsidRPr="00767BF5">
        <w:rPr>
          <w:color w:val="191919"/>
        </w:rPr>
        <w:t xml:space="preserve"> kan patienten ha </w:t>
      </w:r>
      <w:r w:rsidRPr="00767BF5">
        <w:rPr>
          <w:bCs/>
          <w:color w:val="191919"/>
        </w:rPr>
        <w:t>makroprolaktin</w:t>
      </w:r>
      <w:r w:rsidRPr="00767BF5">
        <w:rPr>
          <w:color w:val="191919"/>
        </w:rPr>
        <w:t xml:space="preserve"> som utgör konglomerat av prolaktinmonomerer bundna till IgG-molekyler, eller ha </w:t>
      </w:r>
      <w:r w:rsidRPr="00767BF5">
        <w:rPr>
          <w:bCs/>
          <w:color w:val="191919"/>
        </w:rPr>
        <w:t>heterofila antikroppar</w:t>
      </w:r>
      <w:r w:rsidRPr="00767BF5">
        <w:rPr>
          <w:color w:val="191919"/>
        </w:rPr>
        <w:t xml:space="preserve"> riktade mot prolaktin. </w:t>
      </w:r>
      <w:r>
        <w:t>L</w:t>
      </w:r>
      <w:r w:rsidRPr="00767BF5">
        <w:t>ågmole</w:t>
      </w:r>
      <w:r>
        <w:t>kylärt prolaktin utesluter makroprolaktin och analyseras automatiskt på Karolinska. Förhöjt prolaktin med vanlig metod men normalt l</w:t>
      </w:r>
      <w:r w:rsidRPr="00767BF5">
        <w:t>ågmole</w:t>
      </w:r>
      <w:r>
        <w:t>kylärt prolaktin kan lämnas utan åtgärd.</w:t>
      </w:r>
    </w:p>
    <w:p w:rsidR="003A253B" w:rsidRPr="00767BF5" w:rsidRDefault="003A253B" w:rsidP="003A253B">
      <w:pPr>
        <w:tabs>
          <w:tab w:val="num" w:pos="362"/>
        </w:tabs>
      </w:pPr>
    </w:p>
    <w:p w:rsidR="003A253B" w:rsidRPr="007923FD" w:rsidRDefault="003A253B" w:rsidP="003A253B">
      <w:pPr>
        <w:pStyle w:val="Rubrik1"/>
        <w:jc w:val="both"/>
      </w:pPr>
      <w:r w:rsidRPr="008D7747">
        <w:t>Differentialdiagnoser</w:t>
      </w:r>
    </w:p>
    <w:p w:rsidR="003A253B" w:rsidRPr="00767BF5" w:rsidRDefault="003A253B" w:rsidP="003A253B">
      <w:pPr>
        <w:jc w:val="both"/>
      </w:pPr>
      <w:r>
        <w:t>Differentialdiagnoser till primär hyperprolaktinemi kan vara hypothyreos, kronisk njursvikt, grav leverinsufficiens, PCOS (lätt förhöjt prolaktin utan annan samtidig orsak till hyperprolaktinemi)</w:t>
      </w:r>
      <w:r>
        <w:rPr>
          <w:color w:val="191919"/>
        </w:rPr>
        <w:t>, p</w:t>
      </w:r>
      <w:r w:rsidRPr="00767BF5">
        <w:t xml:space="preserve">åverkan på hypofysstjälken (kompression av </w:t>
      </w:r>
      <w:r>
        <w:t>t.</w:t>
      </w:r>
      <w:r w:rsidRPr="00767BF5">
        <w:t xml:space="preserve">ex </w:t>
      </w:r>
      <w:r>
        <w:t>inaktivt makro</w:t>
      </w:r>
      <w:r w:rsidRPr="00767BF5">
        <w:t>adenom)</w:t>
      </w:r>
      <w:r>
        <w:t>, h</w:t>
      </w:r>
      <w:r w:rsidRPr="00767BF5">
        <w:t>ypofysit</w:t>
      </w:r>
      <w:r>
        <w:t xml:space="preserve"> eller a</w:t>
      </w:r>
      <w:r w:rsidRPr="00767BF5">
        <w:t>nnan hypofys- eller hypothalamustumör</w:t>
      </w:r>
      <w:r>
        <w:t xml:space="preserve">. </w:t>
      </w:r>
    </w:p>
    <w:p w:rsidR="003A253B" w:rsidRDefault="003A253B" w:rsidP="003A253B">
      <w:pPr>
        <w:jc w:val="both"/>
        <w:rPr>
          <w:b/>
        </w:rPr>
      </w:pPr>
    </w:p>
    <w:p w:rsidR="003A253B" w:rsidRDefault="003A253B" w:rsidP="003A253B">
      <w:pPr>
        <w:pStyle w:val="Rubrik1"/>
        <w:jc w:val="both"/>
        <w:rPr>
          <w:b w:val="0"/>
        </w:rPr>
      </w:pPr>
      <w:r w:rsidRPr="00767BF5">
        <w:t>Behandling</w:t>
      </w:r>
    </w:p>
    <w:p w:rsidR="003A253B" w:rsidRPr="00767BF5" w:rsidRDefault="003A253B" w:rsidP="003A253B">
      <w:pPr>
        <w:jc w:val="both"/>
      </w:pPr>
      <w:r w:rsidRPr="00767BF5">
        <w:t xml:space="preserve">Prognosen är </w:t>
      </w:r>
      <w:r>
        <w:t xml:space="preserve">generellt </w:t>
      </w:r>
      <w:r w:rsidRPr="00767BF5">
        <w:t xml:space="preserve">mycket god vid behandling </w:t>
      </w:r>
      <w:r>
        <w:t>av hyperprolaktinemi/prolaktinom. B</w:t>
      </w:r>
      <w:r w:rsidRPr="00767BF5">
        <w:t xml:space="preserve">ehandlingen är i första hand farmakologisk </w:t>
      </w:r>
      <w:r>
        <w:t>oavsett tumörstorlek</w:t>
      </w:r>
      <w:r w:rsidRPr="00767BF5">
        <w:t xml:space="preserve">. Målet med </w:t>
      </w:r>
      <w:r>
        <w:t>medicineringen</w:t>
      </w:r>
      <w:r w:rsidRPr="00767BF5">
        <w:t xml:space="preserve"> är att normalisera prolaktinnivå</w:t>
      </w:r>
      <w:r>
        <w:t>n och menstruationsfunktionen</w:t>
      </w:r>
      <w:r w:rsidRPr="00767BF5">
        <w:t xml:space="preserve">, samt </w:t>
      </w:r>
      <w:r>
        <w:t xml:space="preserve">att </w:t>
      </w:r>
      <w:r w:rsidRPr="00767BF5">
        <w:t xml:space="preserve">krympa </w:t>
      </w:r>
      <w:r>
        <w:t xml:space="preserve">en ev. </w:t>
      </w:r>
      <w:r w:rsidRPr="00767BF5">
        <w:t xml:space="preserve">tumör. De mediciner som används tillhör gruppen dopaminagonister </w:t>
      </w:r>
      <w:r>
        <w:t>som</w:t>
      </w:r>
      <w:r w:rsidRPr="00767BF5">
        <w:t xml:space="preserve"> hämmar prolaktinfrisättningen samt leder till en krympning av tumören och i bästa fall </w:t>
      </w:r>
      <w:r>
        <w:t>att</w:t>
      </w:r>
      <w:r w:rsidRPr="00767BF5">
        <w:t xml:space="preserve"> tumören försvinn</w:t>
      </w:r>
      <w:r>
        <w:t xml:space="preserve">er </w:t>
      </w:r>
      <w:r w:rsidRPr="00767BF5">
        <w:t>helt.</w:t>
      </w:r>
    </w:p>
    <w:p w:rsidR="003A253B" w:rsidRPr="00767BF5" w:rsidRDefault="003A253B" w:rsidP="003A253B">
      <w:pPr>
        <w:rPr>
          <w:b/>
        </w:rPr>
      </w:pPr>
    </w:p>
    <w:p w:rsidR="003A253B" w:rsidRPr="00F837A9" w:rsidRDefault="003A253B" w:rsidP="003A253B">
      <w:pPr>
        <w:keepNext/>
        <w:jc w:val="both"/>
        <w:rPr>
          <w:b/>
          <w:color w:val="191919"/>
        </w:rPr>
      </w:pPr>
      <w:r w:rsidRPr="00F837A9">
        <w:rPr>
          <w:b/>
          <w:color w:val="191919"/>
        </w:rPr>
        <w:t>Farmakologisk</w:t>
      </w:r>
      <w:r>
        <w:rPr>
          <w:b/>
          <w:color w:val="191919"/>
        </w:rPr>
        <w:t xml:space="preserve"> behandling</w:t>
      </w:r>
      <w:r w:rsidRPr="00F837A9">
        <w:rPr>
          <w:b/>
          <w:color w:val="191919"/>
        </w:rPr>
        <w:t xml:space="preserve"> </w:t>
      </w:r>
    </w:p>
    <w:p w:rsidR="003A253B" w:rsidRDefault="003A253B" w:rsidP="003A253B">
      <w:pPr>
        <w:keepNext/>
        <w:tabs>
          <w:tab w:val="left" w:pos="362"/>
        </w:tabs>
        <w:ind w:left="362" w:hanging="362"/>
      </w:pPr>
      <w:r>
        <w:t>Förstahandsval till patienter i fertil ålder är b</w:t>
      </w:r>
      <w:r w:rsidRPr="00767BF5">
        <w:t>romokriptin (Pravidel®)</w:t>
      </w:r>
      <w:r>
        <w:t xml:space="preserve"> pga störst erfarenhet i tidig</w:t>
      </w:r>
    </w:p>
    <w:p w:rsidR="003A253B" w:rsidRPr="00767BF5" w:rsidRDefault="003A253B" w:rsidP="003A253B">
      <w:pPr>
        <w:tabs>
          <w:tab w:val="left" w:pos="0"/>
        </w:tabs>
      </w:pPr>
      <w:r>
        <w:t xml:space="preserve">graviditet. </w:t>
      </w:r>
      <w:r w:rsidRPr="00767BF5">
        <w:t>T. Pravidel® 2,5 mg</w:t>
      </w:r>
      <w:r>
        <w:t xml:space="preserve"> insättes initialt med</w:t>
      </w:r>
      <w:r w:rsidRPr="00767BF5">
        <w:t xml:space="preserve"> ½ tablett till </w:t>
      </w:r>
      <w:r>
        <w:t>kvällen i samband med måltid under 3-4 dagar som därefter kan ökas till</w:t>
      </w:r>
      <w:r w:rsidRPr="00767BF5">
        <w:t xml:space="preserve"> ½ tablett</w:t>
      </w:r>
      <w:r>
        <w:t xml:space="preserve"> morgon och kväll. </w:t>
      </w:r>
      <w:r w:rsidRPr="00767BF5">
        <w:t xml:space="preserve">S-prolaktin </w:t>
      </w:r>
      <w:r>
        <w:t xml:space="preserve">kontrolleras </w:t>
      </w:r>
      <w:r w:rsidRPr="00767BF5">
        <w:t xml:space="preserve">efter </w:t>
      </w:r>
      <w:r>
        <w:t>6-8 veckor och</w:t>
      </w:r>
      <w:r w:rsidRPr="00767BF5">
        <w:t xml:space="preserve"> därefter t</w:t>
      </w:r>
      <w:r>
        <w:t xml:space="preserve">elefonkontakt för ev. dosjustering. Vid tumör görs en ny MRT sella efter ca 6 månaders medicinering. </w:t>
      </w:r>
    </w:p>
    <w:p w:rsidR="003A253B" w:rsidRPr="00767BF5" w:rsidRDefault="003A253B" w:rsidP="003A253B">
      <w:pPr>
        <w:tabs>
          <w:tab w:val="left" w:pos="362"/>
        </w:tabs>
      </w:pPr>
    </w:p>
    <w:p w:rsidR="003A253B" w:rsidRPr="00C91AB8" w:rsidRDefault="003A253B" w:rsidP="003A253B">
      <w:pPr>
        <w:tabs>
          <w:tab w:val="left" w:pos="362"/>
        </w:tabs>
        <w:rPr>
          <w:i/>
        </w:rPr>
      </w:pPr>
      <w:r w:rsidRPr="00C91AB8">
        <w:rPr>
          <w:b/>
          <w:color w:val="191919"/>
        </w:rPr>
        <w:t>Kirurgi</w:t>
      </w:r>
      <w:r w:rsidRPr="00C91AB8">
        <w:rPr>
          <w:i/>
        </w:rPr>
        <w:t xml:space="preserve"> </w:t>
      </w:r>
    </w:p>
    <w:p w:rsidR="003A253B" w:rsidRPr="00767BF5" w:rsidRDefault="003A253B" w:rsidP="003A253B">
      <w:pPr>
        <w:tabs>
          <w:tab w:val="left" w:pos="0"/>
        </w:tabs>
      </w:pPr>
      <w:r>
        <w:t>Kirurgi kan övervägas i sällsynta fall av m</w:t>
      </w:r>
      <w:r w:rsidRPr="00767BF5">
        <w:t xml:space="preserve">akroprolaktinom med synpåverkan </w:t>
      </w:r>
      <w:r>
        <w:t xml:space="preserve">och </w:t>
      </w:r>
      <w:r w:rsidRPr="00767BF5">
        <w:t xml:space="preserve">som inte snabbt förbättras. </w:t>
      </w:r>
      <w:r>
        <w:t xml:space="preserve">Beslutet fattas i team med endokrinolog och neurokirurg. </w:t>
      </w:r>
      <w:r w:rsidRPr="00767BF5">
        <w:t>Kirurgisk behandling</w:t>
      </w:r>
      <w:r>
        <w:t xml:space="preserve"> innebär stor risk för att övrig hypofysfunktion påverkas med utveckling av hyposfysinsufficiens och görs därför endast på strikt indikation. </w:t>
      </w:r>
    </w:p>
    <w:p w:rsidR="003A253B" w:rsidRDefault="003A253B" w:rsidP="003A253B">
      <w:pPr>
        <w:widowControl/>
      </w:pPr>
    </w:p>
    <w:p w:rsidR="003A253B" w:rsidRPr="005B1656" w:rsidRDefault="003A253B" w:rsidP="003A253B">
      <w:pPr>
        <w:tabs>
          <w:tab w:val="left" w:pos="362"/>
        </w:tabs>
        <w:rPr>
          <w:b/>
          <w:color w:val="191919"/>
        </w:rPr>
      </w:pPr>
      <w:r w:rsidRPr="005B1656">
        <w:rPr>
          <w:b/>
          <w:color w:val="191919"/>
        </w:rPr>
        <w:t>Gammastrålning</w:t>
      </w:r>
    </w:p>
    <w:p w:rsidR="003A253B" w:rsidRPr="00767BF5" w:rsidRDefault="003A253B" w:rsidP="003A253B">
      <w:pPr>
        <w:tabs>
          <w:tab w:val="left" w:pos="362"/>
        </w:tabs>
      </w:pPr>
      <w:r w:rsidRPr="00767BF5">
        <w:t>Stereotaktisk strålbehandling</w:t>
      </w:r>
      <w:r>
        <w:t xml:space="preserve"> kan övervägas vid adenomrest och terapisvikt.</w:t>
      </w:r>
    </w:p>
    <w:p w:rsidR="003A253B" w:rsidRPr="00767BF5" w:rsidRDefault="003A253B" w:rsidP="003A253B">
      <w:pPr>
        <w:tabs>
          <w:tab w:val="left" w:pos="362"/>
        </w:tabs>
      </w:pPr>
      <w:r w:rsidRPr="00767BF5">
        <w:tab/>
      </w:r>
    </w:p>
    <w:p w:rsidR="003A253B" w:rsidRPr="00D860FF" w:rsidRDefault="003A253B" w:rsidP="003A253B">
      <w:pPr>
        <w:tabs>
          <w:tab w:val="left" w:pos="362"/>
        </w:tabs>
        <w:rPr>
          <w:b/>
          <w:color w:val="191919"/>
        </w:rPr>
      </w:pPr>
      <w:r w:rsidRPr="00D860FF">
        <w:rPr>
          <w:b/>
          <w:color w:val="191919"/>
        </w:rPr>
        <w:t>Exspektans kan övervägas i enstaka fall</w:t>
      </w:r>
    </w:p>
    <w:p w:rsidR="003A253B" w:rsidRDefault="003A253B" w:rsidP="003A253B">
      <w:pPr>
        <w:tabs>
          <w:tab w:val="left" w:pos="362"/>
        </w:tabs>
        <w:ind w:left="543" w:hanging="543"/>
      </w:pPr>
      <w:r w:rsidRPr="00767BF5">
        <w:t>Symtomfattig patient, utan synlig tumör, som inte t</w:t>
      </w:r>
      <w:r>
        <w:t xml:space="preserve">olererar någon </w:t>
      </w:r>
      <w:r w:rsidRPr="00767BF5">
        <w:t>dopaminagonist</w:t>
      </w:r>
      <w:r>
        <w:t xml:space="preserve"> kan i vissa fall</w:t>
      </w:r>
    </w:p>
    <w:p w:rsidR="003A253B" w:rsidRPr="00767BF5" w:rsidRDefault="003A253B" w:rsidP="003A253B">
      <w:pPr>
        <w:tabs>
          <w:tab w:val="left" w:pos="362"/>
        </w:tabs>
        <w:ind w:left="543" w:hanging="543"/>
      </w:pPr>
      <w:r>
        <w:t>vara utan behandling.</w:t>
      </w:r>
      <w:r w:rsidRPr="00767BF5">
        <w:t xml:space="preserve"> Premenopausala kvinnor bör få östrogensubstitution</w:t>
      </w:r>
      <w:r>
        <w:t xml:space="preserve"> vid behov. </w:t>
      </w:r>
    </w:p>
    <w:p w:rsidR="003A253B" w:rsidRPr="00767BF5" w:rsidRDefault="003A253B" w:rsidP="003A253B"/>
    <w:p w:rsidR="003A253B" w:rsidRPr="007923FD" w:rsidRDefault="003A253B" w:rsidP="003A253B">
      <w:pPr>
        <w:pStyle w:val="Rubrik1"/>
        <w:jc w:val="both"/>
      </w:pPr>
      <w:r w:rsidRPr="00767BF5">
        <w:t>Uppföljning</w:t>
      </w:r>
    </w:p>
    <w:p w:rsidR="003A253B" w:rsidRDefault="003A253B" w:rsidP="003A253B">
      <w:pPr>
        <w:tabs>
          <w:tab w:val="left" w:pos="362"/>
        </w:tabs>
      </w:pPr>
      <w:r w:rsidRPr="00767BF5">
        <w:t>Första återbesök efter 6-10 mån</w:t>
      </w:r>
      <w:r>
        <w:t>ader</w:t>
      </w:r>
      <w:r w:rsidRPr="00767BF5">
        <w:t xml:space="preserve">, därefter </w:t>
      </w:r>
      <w:r>
        <w:t>varje eller vartannat år om patienten är under god kontroll</w:t>
      </w:r>
      <w:r w:rsidRPr="00767BF5">
        <w:t>.</w:t>
      </w:r>
      <w:r>
        <w:t xml:space="preserve"> Hon ska informeras om att det oftast krävs långtidsmedicinering. </w:t>
      </w:r>
    </w:p>
    <w:p w:rsidR="003A253B" w:rsidRDefault="003A253B" w:rsidP="003A253B">
      <w:pPr>
        <w:tabs>
          <w:tab w:val="left" w:pos="362"/>
        </w:tabs>
      </w:pPr>
    </w:p>
    <w:p w:rsidR="003A253B" w:rsidRDefault="003A253B" w:rsidP="003A253B">
      <w:pPr>
        <w:tabs>
          <w:tab w:val="left" w:pos="362"/>
        </w:tabs>
      </w:pPr>
      <w:r w:rsidRPr="00767BF5">
        <w:t xml:space="preserve">Vid intolerans eller om </w:t>
      </w:r>
      <w:r>
        <w:t xml:space="preserve">prolaktin </w:t>
      </w:r>
      <w:r w:rsidRPr="00767BF5">
        <w:t xml:space="preserve">inte </w:t>
      </w:r>
      <w:r>
        <w:t xml:space="preserve">minskar </w:t>
      </w:r>
      <w:r w:rsidRPr="00767BF5">
        <w:t xml:space="preserve">med </w:t>
      </w:r>
      <w:r>
        <w:t>bromokriptin</w:t>
      </w:r>
      <w:r w:rsidRPr="00767BF5">
        <w:t>, bör man byta till en annan</w:t>
      </w:r>
      <w:r>
        <w:t xml:space="preserve"> dopaminagonist som </w:t>
      </w:r>
      <w:r w:rsidRPr="00767BF5">
        <w:t>kabergolin</w:t>
      </w:r>
      <w:r>
        <w:t xml:space="preserve"> </w:t>
      </w:r>
      <w:r w:rsidRPr="00767BF5">
        <w:t>(Kabergolin®, Dostinex®</w:t>
      </w:r>
      <w:r>
        <w:t>, veckotablett</w:t>
      </w:r>
      <w:r w:rsidRPr="00767BF5">
        <w:t>)</w:t>
      </w:r>
      <w:r>
        <w:t xml:space="preserve"> eller </w:t>
      </w:r>
      <w:r w:rsidRPr="00767BF5">
        <w:t>quinagolide (Norprolac®)</w:t>
      </w:r>
      <w:r>
        <w:t>. Flera</w:t>
      </w:r>
      <w:r w:rsidRPr="00767BF5">
        <w:t xml:space="preserve"> studier har visat att kabergolin är mer effektiv än andra dopaminagonister</w:t>
      </w:r>
      <w:r>
        <w:t xml:space="preserve"> för</w:t>
      </w:r>
      <w:r w:rsidRPr="00767BF5">
        <w:t xml:space="preserve"> att sänka prolaktin och </w:t>
      </w:r>
      <w:r>
        <w:t>ger</w:t>
      </w:r>
      <w:r w:rsidRPr="00767BF5">
        <w:t xml:space="preserve"> färre biverkningar. </w:t>
      </w:r>
      <w:r>
        <w:t xml:space="preserve">Det finns dock en liten risk för hjärtklaffspåverkan med höga doser av kabergolin och hjärtat bör därför kontrolleras </w:t>
      </w:r>
      <w:r w:rsidRPr="00767BF5">
        <w:t xml:space="preserve">om kabergolindosen överstiger 2-3 mg/vecka eller om biljud auskulteras över hjärtat. </w:t>
      </w:r>
    </w:p>
    <w:p w:rsidR="003A253B" w:rsidRDefault="003A253B" w:rsidP="003A253B">
      <w:pPr>
        <w:tabs>
          <w:tab w:val="left" w:pos="362"/>
        </w:tabs>
      </w:pPr>
    </w:p>
    <w:p w:rsidR="003A253B" w:rsidRDefault="003A253B" w:rsidP="003A253B">
      <w:pPr>
        <w:tabs>
          <w:tab w:val="left" w:pos="362"/>
        </w:tabs>
      </w:pPr>
      <w:r w:rsidRPr="00767BF5">
        <w:t>Om minskad storlek av mikroadenomet</w:t>
      </w:r>
      <w:r>
        <w:t xml:space="preserve"> efter 6 månader</w:t>
      </w:r>
      <w:r w:rsidRPr="00767BF5">
        <w:t xml:space="preserve">, </w:t>
      </w:r>
      <w:r>
        <w:t xml:space="preserve">görs en </w:t>
      </w:r>
      <w:r w:rsidRPr="00767BF5">
        <w:t xml:space="preserve">ny MRT efter </w:t>
      </w:r>
      <w:r>
        <w:t xml:space="preserve">ytterligare ett år och sedan med </w:t>
      </w:r>
      <w:r w:rsidRPr="00767BF5">
        <w:t>3-5 år</w:t>
      </w:r>
      <w:r>
        <w:t>s intervall beroende på resultat</w:t>
      </w:r>
      <w:r w:rsidRPr="00767BF5">
        <w:t>.</w:t>
      </w:r>
    </w:p>
    <w:p w:rsidR="003A253B" w:rsidRDefault="003A253B" w:rsidP="003A253B">
      <w:pPr>
        <w:tabs>
          <w:tab w:val="left" w:pos="362"/>
        </w:tabs>
      </w:pPr>
    </w:p>
    <w:p w:rsidR="003A253B" w:rsidRPr="00767BF5" w:rsidRDefault="003A253B" w:rsidP="003A253B">
      <w:pPr>
        <w:tabs>
          <w:tab w:val="left" w:pos="362"/>
        </w:tabs>
      </w:pPr>
      <w:r>
        <w:t>Symfältsundersökning görs endast vid makroprolaktinom.</w:t>
      </w:r>
    </w:p>
    <w:p w:rsidR="003A253B" w:rsidRDefault="003A253B" w:rsidP="003A253B">
      <w:pPr>
        <w:tabs>
          <w:tab w:val="left" w:pos="362"/>
        </w:tabs>
        <w:ind w:left="362" w:hanging="362"/>
      </w:pPr>
    </w:p>
    <w:p w:rsidR="003A253B" w:rsidRDefault="003A253B" w:rsidP="003A253B">
      <w:pPr>
        <w:tabs>
          <w:tab w:val="left" w:pos="362"/>
        </w:tabs>
        <w:ind w:left="362" w:hanging="362"/>
      </w:pPr>
      <w:r>
        <w:t>U</w:t>
      </w:r>
      <w:r w:rsidRPr="00767BF5">
        <w:t>tsättningsförsök</w:t>
      </w:r>
      <w:r>
        <w:t xml:space="preserve"> av dopaminagonist</w:t>
      </w:r>
      <w:r w:rsidRPr="00767BF5">
        <w:t xml:space="preserve"> </w:t>
      </w:r>
      <w:r>
        <w:t xml:space="preserve">kan provas </w:t>
      </w:r>
      <w:r w:rsidRPr="00767BF5">
        <w:t xml:space="preserve">när S-prolaktin </w:t>
      </w:r>
      <w:r>
        <w:t xml:space="preserve">normaliserats och </w:t>
      </w:r>
      <w:r w:rsidRPr="00767BF5">
        <w:t>tumör</w:t>
      </w:r>
      <w:r>
        <w:t>en</w:t>
      </w:r>
      <w:r w:rsidRPr="00767BF5">
        <w:t xml:space="preserve"> gått </w:t>
      </w:r>
    </w:p>
    <w:p w:rsidR="003A253B" w:rsidRDefault="003A253B" w:rsidP="003A253B">
      <w:pPr>
        <w:tabs>
          <w:tab w:val="left" w:pos="362"/>
        </w:tabs>
        <w:ind w:left="362" w:hanging="362"/>
      </w:pPr>
      <w:r w:rsidRPr="00767BF5">
        <w:t>i regress.</w:t>
      </w:r>
      <w:r>
        <w:t xml:space="preserve"> Patienten får då sluta med medicinen och sedan lämna blodprov efter 6-8 veckor. Om </w:t>
      </w:r>
    </w:p>
    <w:p w:rsidR="003A253B" w:rsidRDefault="003A253B" w:rsidP="003A253B">
      <w:pPr>
        <w:tabs>
          <w:tab w:val="left" w:pos="362"/>
        </w:tabs>
        <w:ind w:left="362" w:hanging="362"/>
      </w:pPr>
      <w:r>
        <w:t xml:space="preserve">prolaktin är normalt fortsätter man att följa prolaktin ytterligare en tid. Om det börjar stiga får </w:t>
      </w:r>
    </w:p>
    <w:p w:rsidR="003A253B" w:rsidRDefault="003A253B" w:rsidP="003A253B">
      <w:pPr>
        <w:tabs>
          <w:tab w:val="left" w:pos="362"/>
        </w:tabs>
        <w:ind w:left="362" w:hanging="362"/>
      </w:pPr>
      <w:r>
        <w:t xml:space="preserve">patienten återuppta medicineringen. Spontan normalisering av prolaktin ses ibland efter </w:t>
      </w:r>
    </w:p>
    <w:p w:rsidR="003A253B" w:rsidRPr="00767BF5" w:rsidRDefault="003A253B" w:rsidP="003A253B">
      <w:pPr>
        <w:tabs>
          <w:tab w:val="left" w:pos="362"/>
        </w:tabs>
        <w:ind w:left="362" w:hanging="362"/>
      </w:pPr>
      <w:r>
        <w:t>genomgången graviditet samt i samband med menopaus.</w:t>
      </w:r>
    </w:p>
    <w:p w:rsidR="003A253B" w:rsidRPr="00767BF5" w:rsidRDefault="003A253B" w:rsidP="003A253B"/>
    <w:p w:rsidR="003A253B" w:rsidRDefault="003A253B" w:rsidP="003A253B">
      <w:pPr>
        <w:widowControl/>
        <w:rPr>
          <w:rFonts w:cs="Arial"/>
          <w:b/>
          <w:bCs/>
          <w:kern w:val="32"/>
          <w:sz w:val="28"/>
          <w:szCs w:val="28"/>
        </w:rPr>
      </w:pPr>
      <w:r>
        <w:br w:type="page"/>
      </w:r>
    </w:p>
    <w:p w:rsidR="003A253B" w:rsidRPr="005B2D0C" w:rsidRDefault="003A253B" w:rsidP="003A253B">
      <w:pPr>
        <w:pStyle w:val="Rubrik1"/>
        <w:jc w:val="both"/>
      </w:pPr>
      <w:r w:rsidRPr="00767BF5">
        <w:t>Graviditet</w:t>
      </w:r>
    </w:p>
    <w:p w:rsidR="003A253B" w:rsidRPr="00767BF5" w:rsidRDefault="003A253B" w:rsidP="003A253B">
      <w:r>
        <w:t xml:space="preserve">Hos patienter där graviditet kan bli aktuellt </w:t>
      </w:r>
      <w:r w:rsidRPr="00767BF5">
        <w:t>rekommenderas</w:t>
      </w:r>
      <w:r>
        <w:t xml:space="preserve"> i</w:t>
      </w:r>
      <w:r w:rsidRPr="00767BF5">
        <w:t xml:space="preserve"> första hand </w:t>
      </w:r>
      <w:r>
        <w:t>b</w:t>
      </w:r>
      <w:r w:rsidRPr="00767BF5">
        <w:t>romokriptin (Pravidel®) som är välbeprövat och inte har visat några ökade risker för fostret.</w:t>
      </w:r>
      <w:r w:rsidRPr="00767BF5">
        <w:br/>
      </w:r>
    </w:p>
    <w:p w:rsidR="003A253B" w:rsidRPr="005B2D0C" w:rsidRDefault="003A253B" w:rsidP="003A253B">
      <w:pPr>
        <w:keepNext/>
        <w:rPr>
          <w:b/>
        </w:rPr>
      </w:pPr>
      <w:r>
        <w:rPr>
          <w:b/>
        </w:rPr>
        <w:t>Hyperprolaktinemi/m</w:t>
      </w:r>
      <w:r w:rsidRPr="005B2D0C">
        <w:rPr>
          <w:b/>
        </w:rPr>
        <w:t>ikroprolaktinom vid diagnos</w:t>
      </w:r>
    </w:p>
    <w:p w:rsidR="003A253B" w:rsidRDefault="003A253B" w:rsidP="003A253B">
      <w:pPr>
        <w:keepNext/>
      </w:pPr>
      <w:r w:rsidRPr="00767BF5">
        <w:t xml:space="preserve">Vid </w:t>
      </w:r>
      <w:r>
        <w:t>positiv graviditetstest</w:t>
      </w:r>
      <w:r w:rsidRPr="00767BF5">
        <w:t xml:space="preserve"> seponeras</w:t>
      </w:r>
      <w:r>
        <w:t xml:space="preserve"> </w:t>
      </w:r>
      <w:r w:rsidRPr="00767BF5">
        <w:t>dopaminago</w:t>
      </w:r>
      <w:r>
        <w:t>nistmedicineringen</w:t>
      </w:r>
      <w:r w:rsidRPr="00767BF5">
        <w:t>.</w:t>
      </w:r>
      <w:r>
        <w:t xml:space="preserve"> </w:t>
      </w:r>
      <w:r w:rsidRPr="00767BF5">
        <w:t>Risk</w:t>
      </w:r>
      <w:r>
        <w:t>en</w:t>
      </w:r>
      <w:r w:rsidRPr="00767BF5">
        <w:t xml:space="preserve"> för tumörtillväxt</w:t>
      </w:r>
      <w:r>
        <w:t xml:space="preserve"> under graviditet vid mikroprolaktinom är &lt; 2% och patienten kan därför kontrolleras på vanlig MVC. Enda extrakontroll som rekommenderas är en synfältskontroll som görs under första trimestern. MRT-sella görs </w:t>
      </w:r>
      <w:r w:rsidRPr="00767BF5">
        <w:t xml:space="preserve">endast om symtom på tumörtillväxt. </w:t>
      </w:r>
      <w:r>
        <w:t>S-P</w:t>
      </w:r>
      <w:r w:rsidRPr="00767BF5">
        <w:t xml:space="preserve">rolaktin </w:t>
      </w:r>
      <w:r>
        <w:t xml:space="preserve">ska </w:t>
      </w:r>
      <w:r w:rsidRPr="00767BF5">
        <w:t xml:space="preserve">inte följas under graviditeten, då detta normalt stiger och inte korrelerar till tumörväxt. </w:t>
      </w:r>
    </w:p>
    <w:p w:rsidR="003A253B" w:rsidRDefault="003A253B" w:rsidP="003A253B">
      <w:pPr>
        <w:keepNext/>
      </w:pPr>
    </w:p>
    <w:p w:rsidR="003A253B" w:rsidRDefault="003A253B" w:rsidP="003A253B">
      <w:pPr>
        <w:keepNext/>
      </w:pPr>
      <w:r>
        <w:t>Vid mikroprolaktinom uppmanas patienten ta kontakt med behandlande läkare efter partus för beställning av ny MRT sella. Prolaktinkontroll görs först efter avslutad amning.</w:t>
      </w:r>
    </w:p>
    <w:p w:rsidR="003A253B" w:rsidRDefault="003A253B" w:rsidP="003A253B">
      <w:pPr>
        <w:keepNext/>
      </w:pPr>
    </w:p>
    <w:p w:rsidR="003A253B" w:rsidRPr="005B2D0C" w:rsidRDefault="003A253B" w:rsidP="003A253B">
      <w:pPr>
        <w:keepNext/>
        <w:rPr>
          <w:b/>
        </w:rPr>
      </w:pPr>
      <w:r w:rsidRPr="005B2D0C">
        <w:rPr>
          <w:b/>
        </w:rPr>
        <w:t>Makroprolaktinom vid diagnos</w:t>
      </w:r>
    </w:p>
    <w:p w:rsidR="003A253B" w:rsidRPr="00767BF5" w:rsidRDefault="003A253B" w:rsidP="003A253B">
      <w:pPr>
        <w:tabs>
          <w:tab w:val="left" w:pos="362"/>
        </w:tabs>
      </w:pPr>
      <w:r w:rsidRPr="00767BF5">
        <w:t xml:space="preserve">Patienter med makroprolaktinom avråds </w:t>
      </w:r>
      <w:r>
        <w:t xml:space="preserve">från att </w:t>
      </w:r>
      <w:r w:rsidRPr="00767BF5">
        <w:t>bli gravida tills tumören har svarat på medicinsk behandling och minskat i storlek</w:t>
      </w:r>
      <w:r>
        <w:t xml:space="preserve"> till &lt; 1 cm och </w:t>
      </w:r>
      <w:r w:rsidRPr="00767BF5">
        <w:t>blivit intrasellär. Individuell bedömning om dopaminagonist kan seponeras. Regelbundna visus och synfältskontroller. Patienterna skall remitteras till specialistmödravården och bör vanligen skötas gemensamt av spec-MVC och endokrinolog.</w:t>
      </w:r>
    </w:p>
    <w:p w:rsidR="003A253B" w:rsidRPr="00767BF5" w:rsidRDefault="003A253B" w:rsidP="003A253B"/>
    <w:p w:rsidR="003A253B" w:rsidRDefault="003A253B" w:rsidP="003A253B">
      <w:pPr>
        <w:widowControl/>
        <w:rPr>
          <w:b/>
          <w:sz w:val="28"/>
          <w:szCs w:val="28"/>
        </w:rPr>
      </w:pPr>
    </w:p>
    <w:p w:rsidR="003A253B" w:rsidRDefault="003A253B" w:rsidP="003A253B">
      <w:pPr>
        <w:widowControl/>
        <w:rPr>
          <w:b/>
          <w:sz w:val="28"/>
          <w:szCs w:val="28"/>
        </w:rPr>
      </w:pPr>
      <w:r>
        <w:rPr>
          <w:b/>
          <w:sz w:val="28"/>
          <w:szCs w:val="28"/>
        </w:rPr>
        <w:t>Versions</w:t>
      </w:r>
      <w:r w:rsidRPr="0073674B">
        <w:rPr>
          <w:b/>
          <w:sz w:val="28"/>
          <w:szCs w:val="28"/>
        </w:rPr>
        <w:t>historik</w:t>
      </w:r>
    </w:p>
    <w:p w:rsidR="003A253B" w:rsidRDefault="003A253B" w:rsidP="003A253B">
      <w:r>
        <w:t>Varje dokument bör innehålla en historik som för varje version talar om vad som ändrats, vem som gjort ändringen och när ändringen gjordes.</w:t>
      </w:r>
    </w:p>
    <w:p w:rsidR="003A253B" w:rsidRDefault="003A253B" w:rsidP="003A253B">
      <w:pPr>
        <w:widowControl/>
      </w:pPr>
    </w:p>
    <w:tbl>
      <w:tblPr>
        <w:tblStyle w:val="Tabellrutnt"/>
        <w:tblW w:w="0" w:type="auto"/>
        <w:tblLook w:val="0020" w:firstRow="1" w:lastRow="0" w:firstColumn="0" w:lastColumn="0" w:noHBand="0" w:noVBand="0"/>
      </w:tblPr>
      <w:tblGrid>
        <w:gridCol w:w="1242"/>
        <w:gridCol w:w="1418"/>
        <w:gridCol w:w="4248"/>
        <w:gridCol w:w="2303"/>
      </w:tblGrid>
      <w:tr w:rsidR="003A253B" w:rsidRPr="0073674B" w:rsidTr="00B2175A">
        <w:tc>
          <w:tcPr>
            <w:tcW w:w="1242" w:type="dxa"/>
            <w:shd w:val="clear" w:color="auto" w:fill="D9D9D9" w:themeFill="background1" w:themeFillShade="D9"/>
          </w:tcPr>
          <w:p w:rsidR="003A253B" w:rsidRPr="0073674B" w:rsidRDefault="003A253B" w:rsidP="00B2175A">
            <w:pPr>
              <w:spacing w:before="120" w:after="120"/>
              <w:jc w:val="both"/>
              <w:rPr>
                <w:b/>
                <w:bCs/>
              </w:rPr>
            </w:pPr>
            <w:r w:rsidRPr="0073674B">
              <w:rPr>
                <w:b/>
                <w:bCs/>
              </w:rPr>
              <w:t>Version</w:t>
            </w:r>
          </w:p>
        </w:tc>
        <w:tc>
          <w:tcPr>
            <w:tcW w:w="1418" w:type="dxa"/>
            <w:shd w:val="clear" w:color="auto" w:fill="D9D9D9" w:themeFill="background1" w:themeFillShade="D9"/>
          </w:tcPr>
          <w:p w:rsidR="003A253B" w:rsidRPr="0073674B" w:rsidRDefault="003A253B" w:rsidP="00B2175A">
            <w:pPr>
              <w:spacing w:before="120" w:after="120"/>
              <w:jc w:val="both"/>
              <w:rPr>
                <w:b/>
                <w:bCs/>
              </w:rPr>
            </w:pPr>
            <w:r w:rsidRPr="0073674B">
              <w:rPr>
                <w:b/>
                <w:bCs/>
              </w:rPr>
              <w:t>Datum</w:t>
            </w:r>
          </w:p>
        </w:tc>
        <w:tc>
          <w:tcPr>
            <w:tcW w:w="4248" w:type="dxa"/>
            <w:shd w:val="clear" w:color="auto" w:fill="D9D9D9" w:themeFill="background1" w:themeFillShade="D9"/>
          </w:tcPr>
          <w:p w:rsidR="003A253B" w:rsidRPr="0073674B" w:rsidRDefault="003A253B" w:rsidP="00B2175A">
            <w:pPr>
              <w:spacing w:before="120" w:after="120"/>
              <w:jc w:val="both"/>
              <w:rPr>
                <w:b/>
                <w:bCs/>
              </w:rPr>
            </w:pPr>
            <w:r w:rsidRPr="0073674B">
              <w:rPr>
                <w:b/>
                <w:bCs/>
              </w:rPr>
              <w:t>Förändring och kommentar</w:t>
            </w:r>
          </w:p>
        </w:tc>
        <w:tc>
          <w:tcPr>
            <w:tcW w:w="2303" w:type="dxa"/>
            <w:shd w:val="clear" w:color="auto" w:fill="D9D9D9" w:themeFill="background1" w:themeFillShade="D9"/>
          </w:tcPr>
          <w:p w:rsidR="003A253B" w:rsidRPr="0073674B" w:rsidRDefault="003A253B" w:rsidP="00B2175A">
            <w:pPr>
              <w:spacing w:before="120" w:after="120"/>
              <w:jc w:val="both"/>
              <w:rPr>
                <w:b/>
                <w:bCs/>
              </w:rPr>
            </w:pPr>
            <w:r w:rsidRPr="0073674B">
              <w:rPr>
                <w:b/>
                <w:bCs/>
              </w:rPr>
              <w:t>Ansvarig</w:t>
            </w:r>
          </w:p>
        </w:tc>
      </w:tr>
      <w:tr w:rsidR="001C7479" w:rsidRPr="0073674B" w:rsidTr="00B2175A">
        <w:tc>
          <w:tcPr>
            <w:tcW w:w="1242" w:type="dxa"/>
          </w:tcPr>
          <w:p w:rsidR="001C7479" w:rsidRDefault="001C7479" w:rsidP="00B2175A">
            <w:r>
              <w:t>2</w:t>
            </w:r>
          </w:p>
        </w:tc>
        <w:tc>
          <w:tcPr>
            <w:tcW w:w="1418" w:type="dxa"/>
          </w:tcPr>
          <w:p w:rsidR="001C7479" w:rsidRDefault="001C7479" w:rsidP="00B2175A">
            <w:r>
              <w:t>2020-10-13</w:t>
            </w:r>
          </w:p>
        </w:tc>
        <w:tc>
          <w:tcPr>
            <w:tcW w:w="4248" w:type="dxa"/>
          </w:tcPr>
          <w:p w:rsidR="001C7479" w:rsidRDefault="001C7479" w:rsidP="00B2175A">
            <w:r>
              <w:t>Förlängd 1 år utan förändring</w:t>
            </w:r>
          </w:p>
        </w:tc>
        <w:tc>
          <w:tcPr>
            <w:tcW w:w="2303" w:type="dxa"/>
          </w:tcPr>
          <w:p w:rsidR="001C7479" w:rsidRDefault="001C7479" w:rsidP="00B2175A">
            <w:r>
              <w:t>Ronak Perot</w:t>
            </w:r>
          </w:p>
        </w:tc>
      </w:tr>
      <w:tr w:rsidR="003A253B" w:rsidRPr="0073674B" w:rsidTr="00B2175A">
        <w:tc>
          <w:tcPr>
            <w:tcW w:w="1242" w:type="dxa"/>
          </w:tcPr>
          <w:p w:rsidR="003A253B" w:rsidRPr="0073674B" w:rsidRDefault="003A253B" w:rsidP="00B2175A">
            <w:r>
              <w:t>1</w:t>
            </w:r>
          </w:p>
        </w:tc>
        <w:tc>
          <w:tcPr>
            <w:tcW w:w="1418" w:type="dxa"/>
          </w:tcPr>
          <w:p w:rsidR="003A253B" w:rsidRPr="0073674B" w:rsidRDefault="003A253B" w:rsidP="00B2175A">
            <w:r>
              <w:t>2019-04-07</w:t>
            </w:r>
          </w:p>
        </w:tc>
        <w:tc>
          <w:tcPr>
            <w:tcW w:w="4248" w:type="dxa"/>
          </w:tcPr>
          <w:p w:rsidR="003A253B" w:rsidRPr="0073674B" w:rsidRDefault="003A253B" w:rsidP="00B2175A">
            <w:r>
              <w:t xml:space="preserve">Utarbetad av Hedvig Engberg, Angelica Lindén Hirschberg </w:t>
            </w:r>
          </w:p>
        </w:tc>
        <w:tc>
          <w:tcPr>
            <w:tcW w:w="2303" w:type="dxa"/>
          </w:tcPr>
          <w:p w:rsidR="003A253B" w:rsidRPr="0073674B" w:rsidRDefault="003A253B" w:rsidP="00B2175A">
            <w:r>
              <w:t>Tekla Lind</w:t>
            </w:r>
          </w:p>
        </w:tc>
      </w:tr>
    </w:tbl>
    <w:p w:rsidR="003A253B" w:rsidRPr="006330C0" w:rsidRDefault="003A253B" w:rsidP="003A253B"/>
    <w:p w:rsidR="005262F7" w:rsidRPr="006330C0" w:rsidRDefault="005262F7" w:rsidP="003A253B"/>
    <w:sectPr w:rsidR="005262F7" w:rsidRPr="006330C0" w:rsidSect="00FE15A1">
      <w:headerReference w:type="default" r:id="rId8"/>
      <w:footerReference w:type="default" r:id="rId9"/>
      <w:headerReference w:type="first" r:id="rId10"/>
      <w:footerReference w:type="first" r:id="rId11"/>
      <w:pgSz w:w="11906" w:h="16838" w:code="9"/>
      <w:pgMar w:top="1985" w:right="847" w:bottom="1985" w:left="1701" w:header="783" w:footer="7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4C34" w:rsidRDefault="00884C34" w:rsidP="00F47081">
      <w:r>
        <w:separator/>
      </w:r>
    </w:p>
  </w:endnote>
  <w:endnote w:type="continuationSeparator" w:id="0">
    <w:p w:rsidR="00884C34" w:rsidRDefault="00884C34" w:rsidP="00F47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5244"/>
      <w:gridCol w:w="1276"/>
      <w:gridCol w:w="1669"/>
    </w:tblGrid>
    <w:tr w:rsidR="00792109" w:rsidRPr="00BD7647" w:rsidTr="005C7CF9">
      <w:tc>
        <w:tcPr>
          <w:tcW w:w="1101"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Handläggare:</w:t>
          </w:r>
        </w:p>
      </w:tc>
      <w:tc>
        <w:tcPr>
          <w:tcW w:w="5244" w:type="dxa"/>
        </w:tcPr>
        <w:p w:rsidR="00792109" w:rsidRPr="00BD7647" w:rsidRDefault="00D973B2" w:rsidP="005C7C25">
          <w:pPr>
            <w:tabs>
              <w:tab w:val="left" w:pos="5010"/>
              <w:tab w:val="left" w:pos="6663"/>
            </w:tabs>
            <w:rPr>
              <w:rFonts w:asciiTheme="minorHAnsi" w:hAnsiTheme="minorHAnsi"/>
              <w:sz w:val="16"/>
              <w:szCs w:val="16"/>
            </w:rPr>
          </w:pPr>
          <w:bookmarkStart w:id="4" w:name="handläggare_sf"/>
          <w:r>
            <w:rPr>
              <w:rFonts w:asciiTheme="minorHAnsi" w:hAnsiTheme="minorHAnsi"/>
              <w:sz w:val="16"/>
              <w:szCs w:val="16"/>
            </w:rPr>
            <w:t>Susanne Klintberg/SLL/SLL</w:t>
          </w:r>
          <w:bookmarkEnd w:id="4"/>
        </w:p>
      </w:tc>
      <w:tc>
        <w:tcPr>
          <w:tcW w:w="1276"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Dokumentnr:</w:t>
          </w:r>
          <w:r>
            <w:rPr>
              <w:rFonts w:asciiTheme="minorHAnsi" w:hAnsiTheme="minorHAnsi"/>
              <w:sz w:val="16"/>
              <w:szCs w:val="16"/>
            </w:rPr>
            <w:t xml:space="preserve"> </w:t>
          </w:r>
        </w:p>
      </w:tc>
      <w:tc>
        <w:tcPr>
          <w:tcW w:w="1669" w:type="dxa"/>
        </w:tcPr>
        <w:p w:rsidR="00792109" w:rsidRPr="00BD7647" w:rsidRDefault="00D973B2" w:rsidP="005C7C25">
          <w:pPr>
            <w:tabs>
              <w:tab w:val="left" w:pos="5010"/>
              <w:tab w:val="left" w:pos="6663"/>
            </w:tabs>
            <w:rPr>
              <w:rFonts w:asciiTheme="minorHAnsi" w:hAnsiTheme="minorHAnsi"/>
              <w:sz w:val="16"/>
              <w:szCs w:val="16"/>
            </w:rPr>
          </w:pPr>
          <w:bookmarkStart w:id="5" w:name="dokumentnr_sf"/>
          <w:bookmarkStart w:id="6" w:name="löpnummer_sf"/>
          <w:bookmarkEnd w:id="5"/>
          <w:r>
            <w:rPr>
              <w:rFonts w:asciiTheme="minorHAnsi" w:hAnsiTheme="minorHAnsi"/>
              <w:sz w:val="16"/>
              <w:szCs w:val="16"/>
            </w:rPr>
            <w:t>Kar2-16659</w:t>
          </w:r>
          <w:bookmarkEnd w:id="6"/>
        </w:p>
      </w:tc>
    </w:tr>
    <w:tr w:rsidR="00792109" w:rsidRPr="00BD7647" w:rsidTr="005C7CF9">
      <w:trPr>
        <w:trHeight w:val="73"/>
      </w:trPr>
      <w:tc>
        <w:tcPr>
          <w:tcW w:w="1101"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Fastställare:</w:t>
          </w:r>
        </w:p>
      </w:tc>
      <w:tc>
        <w:tcPr>
          <w:tcW w:w="5244" w:type="dxa"/>
        </w:tcPr>
        <w:p w:rsidR="00792109" w:rsidRPr="00BD7647" w:rsidRDefault="00D973B2" w:rsidP="005C7C25">
          <w:pPr>
            <w:tabs>
              <w:tab w:val="left" w:pos="5010"/>
              <w:tab w:val="left" w:pos="6663"/>
            </w:tabs>
            <w:rPr>
              <w:rFonts w:asciiTheme="minorHAnsi" w:hAnsiTheme="minorHAnsi"/>
              <w:sz w:val="16"/>
              <w:szCs w:val="16"/>
            </w:rPr>
          </w:pPr>
          <w:bookmarkStart w:id="7" w:name="fastställare_sf"/>
          <w:r>
            <w:rPr>
              <w:rFonts w:asciiTheme="minorHAnsi" w:hAnsiTheme="minorHAnsi"/>
              <w:sz w:val="16"/>
              <w:szCs w:val="16"/>
            </w:rPr>
            <w:t>Ronak Perot/Karolinska/SLL</w:t>
          </w:r>
          <w:bookmarkEnd w:id="7"/>
        </w:p>
      </w:tc>
      <w:tc>
        <w:tcPr>
          <w:tcW w:w="1276"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Version:</w:t>
          </w:r>
        </w:p>
      </w:tc>
      <w:tc>
        <w:tcPr>
          <w:tcW w:w="1669" w:type="dxa"/>
        </w:tcPr>
        <w:p w:rsidR="00792109" w:rsidRPr="00BD7647" w:rsidRDefault="00D973B2" w:rsidP="005C7C25">
          <w:pPr>
            <w:tabs>
              <w:tab w:val="left" w:pos="5010"/>
              <w:tab w:val="left" w:pos="6663"/>
            </w:tabs>
            <w:rPr>
              <w:rFonts w:asciiTheme="minorHAnsi" w:hAnsiTheme="minorHAnsi"/>
              <w:sz w:val="16"/>
              <w:szCs w:val="16"/>
            </w:rPr>
          </w:pPr>
          <w:bookmarkStart w:id="8" w:name="version_sf"/>
          <w:r>
            <w:rPr>
              <w:rFonts w:asciiTheme="minorHAnsi" w:hAnsiTheme="minorHAnsi"/>
              <w:sz w:val="16"/>
              <w:szCs w:val="16"/>
            </w:rPr>
            <w:t>3</w:t>
          </w:r>
          <w:bookmarkEnd w:id="8"/>
        </w:p>
      </w:tc>
    </w:tr>
    <w:tr w:rsidR="001C5ECA" w:rsidRPr="00BD7647" w:rsidTr="005C7CF9">
      <w:tc>
        <w:tcPr>
          <w:tcW w:w="1101" w:type="dxa"/>
        </w:tcPr>
        <w:p w:rsidR="001C5ECA" w:rsidRPr="00BD7647" w:rsidRDefault="001C5ECA" w:rsidP="005C7C25">
          <w:pPr>
            <w:tabs>
              <w:tab w:val="left" w:pos="5010"/>
              <w:tab w:val="left" w:pos="6663"/>
            </w:tabs>
            <w:rPr>
              <w:rFonts w:asciiTheme="minorHAnsi" w:hAnsiTheme="minorHAnsi"/>
              <w:sz w:val="16"/>
              <w:szCs w:val="16"/>
            </w:rPr>
          </w:pPr>
          <w:r>
            <w:rPr>
              <w:rFonts w:asciiTheme="minorHAnsi" w:hAnsiTheme="minorHAnsi"/>
              <w:sz w:val="16"/>
              <w:szCs w:val="16"/>
            </w:rPr>
            <w:t>Organisation:</w:t>
          </w:r>
        </w:p>
      </w:tc>
      <w:tc>
        <w:tcPr>
          <w:tcW w:w="5244" w:type="dxa"/>
        </w:tcPr>
        <w:p w:rsidR="001C5ECA" w:rsidRPr="00BD7647" w:rsidRDefault="001C5ECA" w:rsidP="005C7C25">
          <w:pPr>
            <w:tabs>
              <w:tab w:val="left" w:pos="5010"/>
              <w:tab w:val="left" w:pos="6663"/>
            </w:tabs>
            <w:rPr>
              <w:rFonts w:asciiTheme="minorHAnsi" w:hAnsiTheme="minorHAnsi"/>
              <w:sz w:val="16"/>
              <w:szCs w:val="16"/>
            </w:rPr>
          </w:pPr>
          <w:bookmarkStart w:id="9" w:name="organisation_sf"/>
          <w:bookmarkEnd w:id="9"/>
        </w:p>
      </w:tc>
      <w:tc>
        <w:tcPr>
          <w:tcW w:w="1276" w:type="dxa"/>
        </w:tcPr>
        <w:p w:rsidR="001C5ECA" w:rsidRPr="00792109" w:rsidRDefault="001C5ECA" w:rsidP="00E8302B">
          <w:pPr>
            <w:tabs>
              <w:tab w:val="left" w:pos="5010"/>
              <w:tab w:val="left" w:pos="6663"/>
            </w:tabs>
            <w:rPr>
              <w:rFonts w:asciiTheme="minorHAnsi" w:hAnsiTheme="minorHAnsi"/>
              <w:sz w:val="16"/>
              <w:szCs w:val="16"/>
            </w:rPr>
          </w:pPr>
          <w:r w:rsidRPr="00792109">
            <w:rPr>
              <w:rFonts w:asciiTheme="minorHAnsi" w:hAnsiTheme="minorHAnsi"/>
              <w:sz w:val="16"/>
              <w:szCs w:val="16"/>
            </w:rPr>
            <w:t>Giltig fr o m:</w:t>
          </w:r>
          <w:r w:rsidR="008765DF">
            <w:rPr>
              <w:rFonts w:asciiTheme="minorHAnsi" w:hAnsiTheme="minorHAnsi"/>
              <w:sz w:val="16"/>
              <w:szCs w:val="16"/>
            </w:rPr>
            <w:t xml:space="preserve"> </w:t>
          </w:r>
        </w:p>
      </w:tc>
      <w:tc>
        <w:tcPr>
          <w:tcW w:w="1669" w:type="dxa"/>
        </w:tcPr>
        <w:p w:rsidR="001C5ECA" w:rsidRPr="00792109" w:rsidRDefault="00D973B2" w:rsidP="00E8302B">
          <w:pPr>
            <w:tabs>
              <w:tab w:val="left" w:pos="5010"/>
              <w:tab w:val="left" w:pos="6663"/>
            </w:tabs>
            <w:rPr>
              <w:rFonts w:asciiTheme="minorHAnsi" w:hAnsiTheme="minorHAnsi"/>
              <w:sz w:val="16"/>
              <w:szCs w:val="16"/>
            </w:rPr>
          </w:pPr>
          <w:bookmarkStart w:id="10" w:name="giltigdatum_sf"/>
          <w:r>
            <w:rPr>
              <w:rFonts w:asciiTheme="minorHAnsi" w:hAnsiTheme="minorHAnsi"/>
              <w:sz w:val="16"/>
              <w:szCs w:val="16"/>
            </w:rPr>
            <w:t>2020-10-29</w:t>
          </w:r>
          <w:bookmarkEnd w:id="10"/>
        </w:p>
      </w:tc>
    </w:tr>
    <w:tr w:rsidR="001C5ECA" w:rsidRPr="00BD7647" w:rsidTr="005C7CF9">
      <w:tc>
        <w:tcPr>
          <w:tcW w:w="1101" w:type="dxa"/>
        </w:tcPr>
        <w:p w:rsidR="001C5ECA" w:rsidRPr="00792109" w:rsidRDefault="001C5ECA" w:rsidP="005C7C25">
          <w:pPr>
            <w:tabs>
              <w:tab w:val="left" w:pos="5010"/>
              <w:tab w:val="left" w:pos="6663"/>
            </w:tabs>
            <w:rPr>
              <w:rFonts w:asciiTheme="minorHAnsi" w:hAnsiTheme="minorHAnsi"/>
              <w:sz w:val="16"/>
              <w:szCs w:val="16"/>
            </w:rPr>
          </w:pPr>
        </w:p>
      </w:tc>
      <w:tc>
        <w:tcPr>
          <w:tcW w:w="5244" w:type="dxa"/>
        </w:tcPr>
        <w:p w:rsidR="001C5ECA" w:rsidRPr="00792109" w:rsidRDefault="001C5ECA" w:rsidP="005C7C25">
          <w:pPr>
            <w:tabs>
              <w:tab w:val="left" w:pos="5010"/>
              <w:tab w:val="left" w:pos="6663"/>
            </w:tabs>
            <w:rPr>
              <w:rFonts w:asciiTheme="minorHAnsi" w:hAnsiTheme="minorHAnsi"/>
              <w:sz w:val="16"/>
              <w:szCs w:val="16"/>
            </w:rPr>
          </w:pPr>
        </w:p>
      </w:tc>
      <w:tc>
        <w:tcPr>
          <w:tcW w:w="1276" w:type="dxa"/>
        </w:tcPr>
        <w:p w:rsidR="001C5ECA" w:rsidRPr="00BD7647" w:rsidRDefault="001C5ECA" w:rsidP="005C7C25">
          <w:pPr>
            <w:tabs>
              <w:tab w:val="left" w:pos="5010"/>
              <w:tab w:val="left" w:pos="6663"/>
            </w:tabs>
            <w:rPr>
              <w:rFonts w:asciiTheme="minorHAnsi" w:hAnsiTheme="minorHAnsi"/>
              <w:b/>
              <w:sz w:val="16"/>
              <w:szCs w:val="16"/>
            </w:rPr>
          </w:pPr>
          <w:r>
            <w:rPr>
              <w:rFonts w:asciiTheme="minorHAnsi" w:hAnsiTheme="minorHAnsi"/>
              <w:sz w:val="16"/>
              <w:szCs w:val="16"/>
            </w:rPr>
            <w:t xml:space="preserve">Utskriftsdatum: </w:t>
          </w:r>
        </w:p>
      </w:tc>
      <w:tc>
        <w:tcPr>
          <w:tcW w:w="1669" w:type="dxa"/>
        </w:tcPr>
        <w:p w:rsidR="001C5ECA" w:rsidRPr="00BD7647" w:rsidRDefault="00BB044B" w:rsidP="005C7C25">
          <w:pPr>
            <w:tabs>
              <w:tab w:val="left" w:pos="5010"/>
              <w:tab w:val="left" w:pos="6663"/>
            </w:tabs>
            <w:rPr>
              <w:rFonts w:asciiTheme="minorHAnsi" w:hAnsiTheme="minorHAnsi"/>
              <w:b/>
              <w:sz w:val="16"/>
              <w:szCs w:val="16"/>
            </w:rPr>
          </w:pPr>
          <w:r>
            <w:rPr>
              <w:rFonts w:asciiTheme="minorHAnsi" w:hAnsiTheme="minorHAnsi"/>
              <w:sz w:val="16"/>
              <w:szCs w:val="16"/>
            </w:rPr>
            <w:fldChar w:fldCharType="begin"/>
          </w:r>
          <w:r w:rsidR="001C5ECA">
            <w:rPr>
              <w:rFonts w:asciiTheme="minorHAnsi" w:hAnsiTheme="minorHAnsi"/>
              <w:sz w:val="16"/>
              <w:szCs w:val="16"/>
            </w:rPr>
            <w:instrText xml:space="preserve"> TIME \@ "yyyy-MM-dd" </w:instrText>
          </w:r>
          <w:r>
            <w:rPr>
              <w:rFonts w:asciiTheme="minorHAnsi" w:hAnsiTheme="minorHAnsi"/>
              <w:sz w:val="16"/>
              <w:szCs w:val="16"/>
            </w:rPr>
            <w:fldChar w:fldCharType="separate"/>
          </w:r>
          <w:r w:rsidR="00D973B2">
            <w:rPr>
              <w:rFonts w:asciiTheme="minorHAnsi" w:hAnsiTheme="minorHAnsi"/>
              <w:noProof/>
              <w:sz w:val="16"/>
              <w:szCs w:val="16"/>
            </w:rPr>
            <w:t>2021-03-04</w:t>
          </w:r>
          <w:r>
            <w:rPr>
              <w:rFonts w:asciiTheme="minorHAnsi" w:hAnsiTheme="minorHAnsi"/>
              <w:sz w:val="16"/>
              <w:szCs w:val="16"/>
            </w:rPr>
            <w:fldChar w:fldCharType="end"/>
          </w:r>
        </w:p>
      </w:tc>
    </w:tr>
  </w:tbl>
  <w:p w:rsidR="009A0B7E" w:rsidRDefault="009A0B7E" w:rsidP="00051851">
    <w:pPr>
      <w:rPr>
        <w:sz w:val="20"/>
        <w:szCs w:val="20"/>
      </w:rPr>
    </w:pPr>
  </w:p>
  <w:p w:rsidR="00051851" w:rsidRPr="00792109" w:rsidRDefault="00051851" w:rsidP="00051851">
    <w:pPr>
      <w:rPr>
        <w:rFonts w:asciiTheme="minorHAnsi" w:hAnsiTheme="minorHAnsi"/>
        <w:sz w:val="20"/>
        <w:szCs w:val="20"/>
      </w:rPr>
    </w:pPr>
    <w:r w:rsidRPr="00792109">
      <w:rPr>
        <w:rFonts w:asciiTheme="minorHAnsi" w:hAnsiTheme="minorHAnsi"/>
        <w:sz w:val="20"/>
        <w:szCs w:val="20"/>
      </w:rPr>
      <w:t>Kontrollera alltid att utskriven kopia är giltig. Ny version kan ha skapats sedan utskriften gjordes.</w:t>
    </w:r>
    <w:r w:rsidR="00D973B2">
      <w:rPr>
        <w:rFonts w:asciiTheme="minorHAnsi" w:hAnsiTheme="minorHAnsi"/>
        <w:noProof/>
        <w:sz w:val="20"/>
        <w:szCs w:val="20"/>
        <w:lang w:val="en-US" w:eastAsia="en-US"/>
      </w:rPr>
      <w:pict>
        <v:group id="_x0000_s2126" style="position:absolute;margin-left:533.35pt;margin-top:791.75pt;width:19.05pt;height:15.7pt;z-index:251662336;mso-position-horizontal-relative:page;mso-position-vertical-relative:page" coordorigin="10597,15761" coordsize="381,314">
          <v:shape id="_x0000_s2127" style="position:absolute;left:10800;top:15761;width:178;height:314" coordsize="178,314" path="m178,284r-15,l148,284r-19,l109,284,69,269,39,239,29,200r,-65l29,60,29,,,,,100,,200r5,44l29,279r40,25l109,314r39,l178,314r,-30xe" fillcolor="black" stroked="f" strokeweight="0">
            <v:path arrowok="t"/>
          </v:shape>
          <v:shape id="_x0000_s2128" style="position:absolute;left:10849;top:15761;width:129;height:264" coordsize="129,264" path="m129,229r-5,l114,229r-20,l80,229r-10,l60,229r-10,l40,224,30,210r,-10l30,175r,-50l30,70r,-45l30,,,,,40r,60l,155r,45l,219r10,15l25,249r15,10l60,264r15,l89,264r15,l119,264r10,l129,229xe" fillcolor="black" stroked="f" strokeweight="0">
            <v:path arrowok="t"/>
          </v:shape>
          <v:shape id="_x0000_s2129" style="position:absolute;left:10597;top:15761;width:183;height:314" coordsize="183,314" path="m,284r15,l34,284r20,l69,284r40,-15l138,239r10,-39l148,135r,-75l148,r35,l183,100r,100l173,244r-25,35l114,304,69,314r-25,l19,314,,314,,284xe" fillcolor="black" stroked="f" strokeweight="0">
            <v:path arrowok="t"/>
          </v:shape>
          <v:shape id="_x0000_s2130" style="position:absolute;left:10597;top:15761;width:133;height:264" coordsize="133,264" path="m,229r5,l19,229r15,l49,229r10,l69,229r10,l89,224,99,210r,-10l99,175r,-50l99,70r,-45l99,r34,l133,40r,60l133,155r,45l128,219r-9,15l104,249,89,259r-20,5l59,264r-20,l24,264r-14,l,264,,229xe" fillcolor="black" stroked="f" strokeweight="0">
            <v:path arrowok="t"/>
          </v:shape>
          <w10:wrap anchorx="page" anchory="page"/>
        </v:group>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5244"/>
      <w:gridCol w:w="1276"/>
      <w:gridCol w:w="1669"/>
    </w:tblGrid>
    <w:tr w:rsidR="009A0B7E" w:rsidRPr="00BD7647" w:rsidTr="005C7CF9">
      <w:tc>
        <w:tcPr>
          <w:tcW w:w="1101" w:type="dxa"/>
        </w:tcPr>
        <w:p w:rsidR="009A0B7E" w:rsidRPr="00BD7647" w:rsidRDefault="009A0B7E" w:rsidP="005C7C25">
          <w:pPr>
            <w:tabs>
              <w:tab w:val="left" w:pos="5010"/>
              <w:tab w:val="left" w:pos="6663"/>
            </w:tabs>
            <w:rPr>
              <w:rFonts w:asciiTheme="minorHAnsi" w:hAnsiTheme="minorHAnsi"/>
              <w:sz w:val="16"/>
              <w:szCs w:val="16"/>
            </w:rPr>
          </w:pPr>
          <w:r w:rsidRPr="00BD7647">
            <w:rPr>
              <w:rFonts w:asciiTheme="minorHAnsi" w:hAnsiTheme="minorHAnsi"/>
              <w:sz w:val="16"/>
              <w:szCs w:val="16"/>
            </w:rPr>
            <w:t>Handläggare:</w:t>
          </w:r>
        </w:p>
      </w:tc>
      <w:tc>
        <w:tcPr>
          <w:tcW w:w="5244" w:type="dxa"/>
        </w:tcPr>
        <w:p w:rsidR="009A0B7E" w:rsidRPr="00BD7647" w:rsidRDefault="00D973B2" w:rsidP="005C7C25">
          <w:pPr>
            <w:tabs>
              <w:tab w:val="left" w:pos="5010"/>
              <w:tab w:val="left" w:pos="6663"/>
            </w:tabs>
            <w:rPr>
              <w:rFonts w:asciiTheme="minorHAnsi" w:hAnsiTheme="minorHAnsi"/>
              <w:sz w:val="16"/>
              <w:szCs w:val="16"/>
            </w:rPr>
          </w:pPr>
          <w:bookmarkStart w:id="14" w:name="handläggare"/>
          <w:r>
            <w:rPr>
              <w:rFonts w:asciiTheme="minorHAnsi" w:hAnsiTheme="minorHAnsi"/>
              <w:sz w:val="16"/>
              <w:szCs w:val="16"/>
            </w:rPr>
            <w:t>Susanne Klintberg/SLL/SLL</w:t>
          </w:r>
          <w:bookmarkEnd w:id="14"/>
        </w:p>
      </w:tc>
      <w:tc>
        <w:tcPr>
          <w:tcW w:w="1276" w:type="dxa"/>
        </w:tcPr>
        <w:p w:rsidR="009A0B7E" w:rsidRPr="00BD7647" w:rsidRDefault="009A0B7E" w:rsidP="009A0B7E">
          <w:pPr>
            <w:tabs>
              <w:tab w:val="left" w:pos="5010"/>
              <w:tab w:val="left" w:pos="6663"/>
            </w:tabs>
            <w:rPr>
              <w:rFonts w:asciiTheme="minorHAnsi" w:hAnsiTheme="minorHAnsi"/>
              <w:sz w:val="16"/>
              <w:szCs w:val="16"/>
            </w:rPr>
          </w:pPr>
          <w:r w:rsidRPr="00BD7647">
            <w:rPr>
              <w:rFonts w:asciiTheme="minorHAnsi" w:hAnsiTheme="minorHAnsi"/>
              <w:sz w:val="16"/>
              <w:szCs w:val="16"/>
            </w:rPr>
            <w:t>Dokumentnr:</w:t>
          </w:r>
          <w:r>
            <w:rPr>
              <w:rFonts w:asciiTheme="minorHAnsi" w:hAnsiTheme="minorHAnsi"/>
              <w:sz w:val="16"/>
              <w:szCs w:val="16"/>
            </w:rPr>
            <w:t xml:space="preserve"> </w:t>
          </w:r>
        </w:p>
      </w:tc>
      <w:tc>
        <w:tcPr>
          <w:tcW w:w="1669" w:type="dxa"/>
        </w:tcPr>
        <w:p w:rsidR="009A0B7E" w:rsidRPr="00BD7647" w:rsidRDefault="00D973B2" w:rsidP="00BD7647">
          <w:pPr>
            <w:tabs>
              <w:tab w:val="left" w:pos="5010"/>
              <w:tab w:val="left" w:pos="6663"/>
            </w:tabs>
            <w:rPr>
              <w:rFonts w:asciiTheme="minorHAnsi" w:hAnsiTheme="minorHAnsi"/>
              <w:sz w:val="16"/>
              <w:szCs w:val="16"/>
            </w:rPr>
          </w:pPr>
          <w:bookmarkStart w:id="15" w:name="löpnummer"/>
          <w:r>
            <w:rPr>
              <w:rFonts w:asciiTheme="minorHAnsi" w:hAnsiTheme="minorHAnsi"/>
              <w:sz w:val="16"/>
              <w:szCs w:val="16"/>
            </w:rPr>
            <w:t>Kar2-16659</w:t>
          </w:r>
          <w:bookmarkEnd w:id="15"/>
        </w:p>
      </w:tc>
    </w:tr>
    <w:tr w:rsidR="009A0B7E" w:rsidRPr="00BD7647" w:rsidTr="005C7CF9">
      <w:trPr>
        <w:trHeight w:val="73"/>
      </w:trPr>
      <w:tc>
        <w:tcPr>
          <w:tcW w:w="1101" w:type="dxa"/>
        </w:tcPr>
        <w:p w:rsidR="009A0B7E" w:rsidRPr="00BD7647" w:rsidRDefault="009A0B7E" w:rsidP="005C7C25">
          <w:pPr>
            <w:tabs>
              <w:tab w:val="left" w:pos="5010"/>
              <w:tab w:val="left" w:pos="6663"/>
            </w:tabs>
            <w:rPr>
              <w:rFonts w:asciiTheme="minorHAnsi" w:hAnsiTheme="minorHAnsi"/>
              <w:sz w:val="16"/>
              <w:szCs w:val="16"/>
            </w:rPr>
          </w:pPr>
          <w:r w:rsidRPr="00BD7647">
            <w:rPr>
              <w:rFonts w:asciiTheme="minorHAnsi" w:hAnsiTheme="minorHAnsi"/>
              <w:sz w:val="16"/>
              <w:szCs w:val="16"/>
            </w:rPr>
            <w:t>Fastställare:</w:t>
          </w:r>
        </w:p>
      </w:tc>
      <w:tc>
        <w:tcPr>
          <w:tcW w:w="5244" w:type="dxa"/>
        </w:tcPr>
        <w:p w:rsidR="009A0B7E" w:rsidRPr="00BD7647" w:rsidRDefault="00D973B2" w:rsidP="005C7C25">
          <w:pPr>
            <w:tabs>
              <w:tab w:val="left" w:pos="5010"/>
              <w:tab w:val="left" w:pos="6663"/>
            </w:tabs>
            <w:rPr>
              <w:rFonts w:asciiTheme="minorHAnsi" w:hAnsiTheme="minorHAnsi"/>
              <w:sz w:val="16"/>
              <w:szCs w:val="16"/>
            </w:rPr>
          </w:pPr>
          <w:bookmarkStart w:id="16" w:name="fastställare"/>
          <w:r>
            <w:rPr>
              <w:rFonts w:asciiTheme="minorHAnsi" w:hAnsiTheme="minorHAnsi"/>
              <w:sz w:val="16"/>
              <w:szCs w:val="16"/>
            </w:rPr>
            <w:t>Ronak Perot/Karolinska/SLL</w:t>
          </w:r>
          <w:bookmarkEnd w:id="16"/>
        </w:p>
      </w:tc>
      <w:tc>
        <w:tcPr>
          <w:tcW w:w="1276" w:type="dxa"/>
        </w:tcPr>
        <w:p w:rsidR="009A0B7E" w:rsidRPr="00BD7647" w:rsidRDefault="009A0B7E" w:rsidP="00BD7647">
          <w:pPr>
            <w:tabs>
              <w:tab w:val="left" w:pos="5010"/>
              <w:tab w:val="left" w:pos="6663"/>
            </w:tabs>
            <w:rPr>
              <w:rFonts w:asciiTheme="minorHAnsi" w:hAnsiTheme="minorHAnsi"/>
              <w:sz w:val="16"/>
              <w:szCs w:val="16"/>
            </w:rPr>
          </w:pPr>
          <w:r w:rsidRPr="00BD7647">
            <w:rPr>
              <w:rFonts w:asciiTheme="minorHAnsi" w:hAnsiTheme="minorHAnsi"/>
              <w:sz w:val="16"/>
              <w:szCs w:val="16"/>
            </w:rPr>
            <w:t>Version:</w:t>
          </w:r>
        </w:p>
      </w:tc>
      <w:tc>
        <w:tcPr>
          <w:tcW w:w="1669" w:type="dxa"/>
        </w:tcPr>
        <w:p w:rsidR="009A0B7E" w:rsidRPr="00BD7647" w:rsidRDefault="00D973B2" w:rsidP="00BD7647">
          <w:pPr>
            <w:tabs>
              <w:tab w:val="left" w:pos="5010"/>
              <w:tab w:val="left" w:pos="6663"/>
            </w:tabs>
            <w:rPr>
              <w:rFonts w:asciiTheme="minorHAnsi" w:hAnsiTheme="minorHAnsi"/>
              <w:sz w:val="16"/>
              <w:szCs w:val="16"/>
            </w:rPr>
          </w:pPr>
          <w:bookmarkStart w:id="17" w:name="version"/>
          <w:r>
            <w:rPr>
              <w:rFonts w:asciiTheme="minorHAnsi" w:hAnsiTheme="minorHAnsi"/>
              <w:sz w:val="16"/>
              <w:szCs w:val="16"/>
            </w:rPr>
            <w:t>3</w:t>
          </w:r>
          <w:bookmarkEnd w:id="17"/>
        </w:p>
      </w:tc>
    </w:tr>
    <w:tr w:rsidR="009A0B7E" w:rsidRPr="00BD7647" w:rsidTr="005C7CF9">
      <w:tc>
        <w:tcPr>
          <w:tcW w:w="1101" w:type="dxa"/>
        </w:tcPr>
        <w:p w:rsidR="009A0B7E" w:rsidRPr="00BD7647" w:rsidRDefault="001A1351" w:rsidP="005C7C25">
          <w:pPr>
            <w:tabs>
              <w:tab w:val="left" w:pos="5010"/>
              <w:tab w:val="left" w:pos="6663"/>
            </w:tabs>
            <w:rPr>
              <w:rFonts w:asciiTheme="minorHAnsi" w:hAnsiTheme="minorHAnsi"/>
              <w:sz w:val="16"/>
              <w:szCs w:val="16"/>
            </w:rPr>
          </w:pPr>
          <w:r>
            <w:rPr>
              <w:rFonts w:asciiTheme="minorHAnsi" w:hAnsiTheme="minorHAnsi"/>
              <w:sz w:val="16"/>
              <w:szCs w:val="16"/>
            </w:rPr>
            <w:t>Organisation:</w:t>
          </w:r>
        </w:p>
      </w:tc>
      <w:tc>
        <w:tcPr>
          <w:tcW w:w="5244" w:type="dxa"/>
        </w:tcPr>
        <w:p w:rsidR="009A0B7E" w:rsidRPr="00BD7647" w:rsidRDefault="009A0B7E" w:rsidP="005C7C25">
          <w:pPr>
            <w:tabs>
              <w:tab w:val="left" w:pos="5010"/>
              <w:tab w:val="left" w:pos="6663"/>
            </w:tabs>
            <w:rPr>
              <w:rFonts w:asciiTheme="minorHAnsi" w:hAnsiTheme="minorHAnsi"/>
              <w:sz w:val="16"/>
              <w:szCs w:val="16"/>
            </w:rPr>
          </w:pPr>
          <w:bookmarkStart w:id="18" w:name="Organisation"/>
          <w:bookmarkEnd w:id="18"/>
        </w:p>
      </w:tc>
      <w:tc>
        <w:tcPr>
          <w:tcW w:w="1276" w:type="dxa"/>
        </w:tcPr>
        <w:p w:rsidR="009A0B7E" w:rsidRPr="00BD7647" w:rsidRDefault="001E6A21" w:rsidP="005C7C25">
          <w:pPr>
            <w:tabs>
              <w:tab w:val="left" w:pos="5010"/>
              <w:tab w:val="left" w:pos="6663"/>
            </w:tabs>
            <w:rPr>
              <w:rFonts w:asciiTheme="minorHAnsi" w:hAnsiTheme="minorHAnsi"/>
              <w:sz w:val="16"/>
              <w:szCs w:val="16"/>
            </w:rPr>
          </w:pPr>
          <w:r w:rsidRPr="00792109">
            <w:rPr>
              <w:rFonts w:asciiTheme="minorHAnsi" w:hAnsiTheme="minorHAnsi"/>
              <w:sz w:val="16"/>
              <w:szCs w:val="16"/>
            </w:rPr>
            <w:t>Giltig fr o m:</w:t>
          </w:r>
        </w:p>
      </w:tc>
      <w:tc>
        <w:tcPr>
          <w:tcW w:w="1669" w:type="dxa"/>
        </w:tcPr>
        <w:p w:rsidR="009A0B7E" w:rsidRPr="00BD7647" w:rsidRDefault="00D973B2" w:rsidP="005C7C25">
          <w:pPr>
            <w:tabs>
              <w:tab w:val="left" w:pos="5010"/>
              <w:tab w:val="left" w:pos="6663"/>
            </w:tabs>
            <w:rPr>
              <w:rFonts w:asciiTheme="minorHAnsi" w:hAnsiTheme="minorHAnsi"/>
              <w:sz w:val="16"/>
              <w:szCs w:val="16"/>
            </w:rPr>
          </w:pPr>
          <w:bookmarkStart w:id="19" w:name="giltigdatum"/>
          <w:r>
            <w:rPr>
              <w:rFonts w:asciiTheme="minorHAnsi" w:hAnsiTheme="minorHAnsi"/>
              <w:sz w:val="16"/>
              <w:szCs w:val="16"/>
            </w:rPr>
            <w:t>2020-10-29</w:t>
          </w:r>
          <w:bookmarkEnd w:id="19"/>
        </w:p>
      </w:tc>
    </w:tr>
    <w:tr w:rsidR="009A0B7E" w:rsidRPr="00BD7647" w:rsidTr="005C7CF9">
      <w:tc>
        <w:tcPr>
          <w:tcW w:w="1101" w:type="dxa"/>
        </w:tcPr>
        <w:p w:rsidR="009A0B7E" w:rsidRPr="00792109" w:rsidRDefault="009A0B7E" w:rsidP="00BD7647">
          <w:pPr>
            <w:tabs>
              <w:tab w:val="left" w:pos="5010"/>
              <w:tab w:val="left" w:pos="6663"/>
            </w:tabs>
            <w:rPr>
              <w:rFonts w:asciiTheme="minorHAnsi" w:hAnsiTheme="minorHAnsi"/>
              <w:sz w:val="16"/>
              <w:szCs w:val="16"/>
            </w:rPr>
          </w:pPr>
        </w:p>
      </w:tc>
      <w:tc>
        <w:tcPr>
          <w:tcW w:w="5244" w:type="dxa"/>
        </w:tcPr>
        <w:p w:rsidR="009A0B7E" w:rsidRPr="00792109" w:rsidRDefault="009A0B7E" w:rsidP="00BD7647">
          <w:pPr>
            <w:tabs>
              <w:tab w:val="left" w:pos="5010"/>
              <w:tab w:val="left" w:pos="6663"/>
            </w:tabs>
            <w:rPr>
              <w:rFonts w:asciiTheme="minorHAnsi" w:hAnsiTheme="minorHAnsi"/>
              <w:sz w:val="16"/>
              <w:szCs w:val="16"/>
            </w:rPr>
          </w:pPr>
        </w:p>
      </w:tc>
      <w:tc>
        <w:tcPr>
          <w:tcW w:w="1276" w:type="dxa"/>
        </w:tcPr>
        <w:p w:rsidR="009A0B7E" w:rsidRPr="00BD7647" w:rsidRDefault="009A0B7E" w:rsidP="009A0B7E">
          <w:pPr>
            <w:tabs>
              <w:tab w:val="left" w:pos="5010"/>
              <w:tab w:val="left" w:pos="6663"/>
            </w:tabs>
            <w:rPr>
              <w:rFonts w:asciiTheme="minorHAnsi" w:hAnsiTheme="minorHAnsi"/>
              <w:b/>
              <w:sz w:val="16"/>
              <w:szCs w:val="16"/>
            </w:rPr>
          </w:pPr>
          <w:r>
            <w:rPr>
              <w:rFonts w:asciiTheme="minorHAnsi" w:hAnsiTheme="minorHAnsi"/>
              <w:sz w:val="16"/>
              <w:szCs w:val="16"/>
            </w:rPr>
            <w:t xml:space="preserve">Utskriftsdatum: </w:t>
          </w:r>
        </w:p>
      </w:tc>
      <w:tc>
        <w:tcPr>
          <w:tcW w:w="1669" w:type="dxa"/>
        </w:tcPr>
        <w:p w:rsidR="009A0B7E" w:rsidRPr="00BD7647" w:rsidRDefault="00BB044B" w:rsidP="00BD7647">
          <w:pPr>
            <w:tabs>
              <w:tab w:val="left" w:pos="5010"/>
              <w:tab w:val="left" w:pos="6663"/>
            </w:tabs>
            <w:rPr>
              <w:rFonts w:asciiTheme="minorHAnsi" w:hAnsiTheme="minorHAnsi"/>
              <w:b/>
              <w:sz w:val="16"/>
              <w:szCs w:val="16"/>
            </w:rPr>
          </w:pPr>
          <w:r>
            <w:rPr>
              <w:rFonts w:asciiTheme="minorHAnsi" w:hAnsiTheme="minorHAnsi"/>
              <w:sz w:val="16"/>
              <w:szCs w:val="16"/>
            </w:rPr>
            <w:fldChar w:fldCharType="begin"/>
          </w:r>
          <w:r w:rsidR="009A0B7E">
            <w:rPr>
              <w:rFonts w:asciiTheme="minorHAnsi" w:hAnsiTheme="minorHAnsi"/>
              <w:sz w:val="16"/>
              <w:szCs w:val="16"/>
            </w:rPr>
            <w:instrText xml:space="preserve"> TIME \@ "yyyy-MM-dd" </w:instrText>
          </w:r>
          <w:r>
            <w:rPr>
              <w:rFonts w:asciiTheme="minorHAnsi" w:hAnsiTheme="minorHAnsi"/>
              <w:sz w:val="16"/>
              <w:szCs w:val="16"/>
            </w:rPr>
            <w:fldChar w:fldCharType="separate"/>
          </w:r>
          <w:r w:rsidR="00D973B2">
            <w:rPr>
              <w:rFonts w:asciiTheme="minorHAnsi" w:hAnsiTheme="minorHAnsi"/>
              <w:noProof/>
              <w:sz w:val="16"/>
              <w:szCs w:val="16"/>
            </w:rPr>
            <w:t>2021-03-04</w:t>
          </w:r>
          <w:r>
            <w:rPr>
              <w:rFonts w:asciiTheme="minorHAnsi" w:hAnsiTheme="minorHAnsi"/>
              <w:sz w:val="16"/>
              <w:szCs w:val="16"/>
            </w:rPr>
            <w:fldChar w:fldCharType="end"/>
          </w:r>
        </w:p>
      </w:tc>
    </w:tr>
  </w:tbl>
  <w:p w:rsidR="00BD7647" w:rsidRDefault="00BD7647">
    <w:pPr>
      <w:rPr>
        <w:sz w:val="20"/>
        <w:szCs w:val="20"/>
      </w:rPr>
    </w:pPr>
  </w:p>
  <w:p w:rsidR="008C2B03" w:rsidRPr="00123992" w:rsidRDefault="00D56B21">
    <w:pPr>
      <w:rPr>
        <w:rFonts w:asciiTheme="minorHAnsi" w:hAnsiTheme="minorHAnsi"/>
        <w:sz w:val="20"/>
        <w:szCs w:val="20"/>
      </w:rPr>
    </w:pPr>
    <w:r w:rsidRPr="00123992">
      <w:rPr>
        <w:rFonts w:asciiTheme="minorHAnsi" w:hAnsiTheme="minorHAnsi"/>
        <w:sz w:val="20"/>
        <w:szCs w:val="20"/>
      </w:rPr>
      <w:t>Kontrollera alltid att utskriven kopia är giltig. Ny version kan ha skapats sedan utskriften gjordes.</w:t>
    </w:r>
    <w:r w:rsidR="00D973B2">
      <w:rPr>
        <w:rFonts w:asciiTheme="minorHAnsi" w:hAnsiTheme="minorHAnsi"/>
        <w:noProof/>
        <w:sz w:val="20"/>
        <w:szCs w:val="20"/>
        <w:lang w:val="en-US" w:eastAsia="en-US"/>
      </w:rPr>
      <w:pict>
        <v:group id="_x0000_s2070" style="position:absolute;margin-left:533.35pt;margin-top:791.75pt;width:19.05pt;height:15.7pt;z-index:251656192;mso-position-horizontal-relative:page;mso-position-vertical-relative:page" coordorigin="10597,15761" coordsize="381,314">
          <v:shape id="_x0000_s2071" style="position:absolute;left:10800;top:15761;width:178;height:314" coordsize="178,314" path="m178,284r-15,l148,284r-19,l109,284,69,269,39,239,29,200r,-65l29,60,29,,,,,100,,200r5,44l29,279r40,25l109,314r39,l178,314r,-30xe" fillcolor="black" stroked="f" strokeweight="0">
            <v:path arrowok="t"/>
          </v:shape>
          <v:shape id="_x0000_s2072" style="position:absolute;left:10849;top:15761;width:129;height:264" coordsize="129,264" path="m129,229r-5,l114,229r-20,l80,229r-10,l60,229r-10,l40,224,30,210r,-10l30,175r,-50l30,70r,-45l30,,,,,40r,60l,155r,45l,219r10,15l25,249r15,10l60,264r15,l89,264r15,l119,264r10,l129,229xe" fillcolor="black" stroked="f" strokeweight="0">
            <v:path arrowok="t"/>
          </v:shape>
          <v:shape id="_x0000_s2073" style="position:absolute;left:10597;top:15761;width:183;height:314" coordsize="183,314" path="m,284r15,l34,284r20,l69,284r40,-15l138,239r10,-39l148,135r,-75l148,r35,l183,100r,100l173,244r-25,35l114,304,69,314r-25,l19,314,,314,,284xe" fillcolor="black" stroked="f" strokeweight="0">
            <v:path arrowok="t"/>
          </v:shape>
          <v:shape id="_x0000_s2074" style="position:absolute;left:10597;top:15761;width:133;height:264" coordsize="133,264" path="m,229r5,l19,229r15,l49,229r10,l69,229r10,l89,224,99,210r,-10l99,175r,-50l99,70r,-45l99,r34,l133,40r,60l133,155r,45l128,219r-9,15l104,249,89,259r-20,5l59,264r-20,l24,264r-14,l,264,,229xe" fillcolor="black" stroked="f" strokeweight="0">
            <v:path arrowok="t"/>
          </v:shape>
          <w10:wrap anchorx="page" anchory="page"/>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4C34" w:rsidRDefault="00884C34" w:rsidP="00F47081">
      <w:r>
        <w:separator/>
      </w:r>
    </w:p>
  </w:footnote>
  <w:footnote w:type="continuationSeparator" w:id="0">
    <w:p w:rsidR="00884C34" w:rsidRDefault="00884C34" w:rsidP="00F470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3867"/>
      <w:gridCol w:w="1346"/>
    </w:tblGrid>
    <w:tr w:rsidR="001C5ECA" w:rsidRPr="00123992" w:rsidTr="00ED1C5C">
      <w:tc>
        <w:tcPr>
          <w:tcW w:w="4077" w:type="dxa"/>
        </w:tcPr>
        <w:p w:rsidR="001C5ECA" w:rsidRPr="00123992" w:rsidRDefault="00ED1C5C" w:rsidP="0000601D">
          <w:pPr>
            <w:tabs>
              <w:tab w:val="left" w:pos="5010"/>
              <w:tab w:val="left" w:pos="6663"/>
            </w:tabs>
            <w:rPr>
              <w:rFonts w:asciiTheme="minorHAnsi" w:hAnsiTheme="minorHAnsi"/>
            </w:rPr>
          </w:pPr>
          <w:r>
            <w:rPr>
              <w:rFonts w:asciiTheme="minorHAnsi" w:hAnsiTheme="minorHAnsi"/>
              <w:noProof/>
            </w:rPr>
            <w:drawing>
              <wp:inline distT="0" distB="0" distL="0" distR="0">
                <wp:extent cx="567447" cy="800100"/>
                <wp:effectExtent l="19050" t="0" r="4053" b="0"/>
                <wp:docPr id="2" name="Bildobjekt 1" descr="KAROLINSKA_K_LOGO_s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OLINSKA_K_LOGO_sRGB.jpg"/>
                        <pic:cNvPicPr/>
                      </pic:nvPicPr>
                      <pic:blipFill>
                        <a:blip r:embed="rId1"/>
                        <a:stretch>
                          <a:fillRect/>
                        </a:stretch>
                      </pic:blipFill>
                      <pic:spPr>
                        <a:xfrm>
                          <a:off x="0" y="0"/>
                          <a:ext cx="568960" cy="802234"/>
                        </a:xfrm>
                        <a:prstGeom prst="rect">
                          <a:avLst/>
                        </a:prstGeom>
                      </pic:spPr>
                    </pic:pic>
                  </a:graphicData>
                </a:graphic>
              </wp:inline>
            </w:drawing>
          </w:r>
        </w:p>
      </w:tc>
      <w:tc>
        <w:tcPr>
          <w:tcW w:w="3867" w:type="dxa"/>
        </w:tcPr>
        <w:p w:rsidR="001C5ECA" w:rsidRPr="00123992" w:rsidRDefault="00D973B2" w:rsidP="0000601D">
          <w:pPr>
            <w:tabs>
              <w:tab w:val="left" w:pos="5010"/>
              <w:tab w:val="left" w:pos="6663"/>
            </w:tabs>
            <w:rPr>
              <w:rFonts w:asciiTheme="minorHAnsi" w:hAnsiTheme="minorHAnsi"/>
            </w:rPr>
          </w:pPr>
          <w:bookmarkStart w:id="2" w:name="Dokumenttyp_sf"/>
          <w:r>
            <w:rPr>
              <w:rFonts w:asciiTheme="minorHAnsi" w:hAnsiTheme="minorHAnsi"/>
            </w:rPr>
            <w:t>Styrande lokalt dokument</w:t>
          </w:r>
          <w:bookmarkEnd w:id="2"/>
        </w:p>
      </w:tc>
      <w:tc>
        <w:tcPr>
          <w:tcW w:w="1346" w:type="dxa"/>
        </w:tcPr>
        <w:p w:rsidR="001C5ECA" w:rsidRPr="00123992" w:rsidRDefault="00BB044B" w:rsidP="0000601D">
          <w:pPr>
            <w:tabs>
              <w:tab w:val="left" w:pos="5010"/>
              <w:tab w:val="left" w:pos="6663"/>
            </w:tabs>
            <w:jc w:val="right"/>
            <w:rPr>
              <w:rFonts w:asciiTheme="minorHAnsi" w:hAnsiTheme="minorHAnsi"/>
            </w:rPr>
          </w:pPr>
          <w:r w:rsidRPr="00123992">
            <w:rPr>
              <w:rFonts w:asciiTheme="minorHAnsi" w:hAnsiTheme="minorHAnsi"/>
            </w:rPr>
            <w:fldChar w:fldCharType="begin"/>
          </w:r>
          <w:r w:rsidR="001C5ECA" w:rsidRPr="00123992">
            <w:rPr>
              <w:rFonts w:asciiTheme="minorHAnsi" w:hAnsiTheme="minorHAnsi"/>
            </w:rPr>
            <w:instrText xml:space="preserve"> PAGE  \* MERGEFORMAT </w:instrText>
          </w:r>
          <w:r w:rsidRPr="00123992">
            <w:rPr>
              <w:rFonts w:asciiTheme="minorHAnsi" w:hAnsiTheme="minorHAnsi"/>
            </w:rPr>
            <w:fldChar w:fldCharType="separate"/>
          </w:r>
          <w:r w:rsidR="00047788">
            <w:rPr>
              <w:rFonts w:asciiTheme="minorHAnsi" w:hAnsiTheme="minorHAnsi"/>
              <w:noProof/>
            </w:rPr>
            <w:t>2</w:t>
          </w:r>
          <w:r w:rsidRPr="00123992">
            <w:rPr>
              <w:rFonts w:asciiTheme="minorHAnsi" w:hAnsiTheme="minorHAnsi"/>
            </w:rPr>
            <w:fldChar w:fldCharType="end"/>
          </w:r>
          <w:r w:rsidR="001C5ECA" w:rsidRPr="00123992">
            <w:rPr>
              <w:rFonts w:asciiTheme="minorHAnsi" w:hAnsiTheme="minorHAnsi"/>
            </w:rPr>
            <w:t xml:space="preserve"> (</w:t>
          </w:r>
          <w:r w:rsidR="003A253B">
            <w:rPr>
              <w:rFonts w:asciiTheme="minorHAnsi" w:hAnsiTheme="minorHAnsi"/>
              <w:noProof/>
            </w:rPr>
            <w:fldChar w:fldCharType="begin"/>
          </w:r>
          <w:r w:rsidR="003A253B">
            <w:rPr>
              <w:rFonts w:asciiTheme="minorHAnsi" w:hAnsiTheme="minorHAnsi"/>
              <w:noProof/>
            </w:rPr>
            <w:instrText xml:space="preserve"> NUMPAGES  \* MERGEFORMAT </w:instrText>
          </w:r>
          <w:r w:rsidR="003A253B">
            <w:rPr>
              <w:rFonts w:asciiTheme="minorHAnsi" w:hAnsiTheme="minorHAnsi"/>
              <w:noProof/>
            </w:rPr>
            <w:fldChar w:fldCharType="separate"/>
          </w:r>
          <w:r w:rsidR="00047788" w:rsidRPr="00047788">
            <w:rPr>
              <w:rFonts w:asciiTheme="minorHAnsi" w:hAnsiTheme="minorHAnsi"/>
              <w:noProof/>
            </w:rPr>
            <w:t>2</w:t>
          </w:r>
          <w:r w:rsidR="003A253B">
            <w:rPr>
              <w:rFonts w:asciiTheme="minorHAnsi" w:hAnsiTheme="minorHAnsi"/>
              <w:noProof/>
            </w:rPr>
            <w:fldChar w:fldCharType="end"/>
          </w:r>
          <w:r w:rsidR="001C5ECA" w:rsidRPr="00123992">
            <w:rPr>
              <w:rFonts w:asciiTheme="minorHAnsi" w:hAnsiTheme="minorHAnsi"/>
            </w:rPr>
            <w:t>)</w:t>
          </w:r>
        </w:p>
      </w:tc>
    </w:tr>
    <w:tr w:rsidR="001C5ECA" w:rsidRPr="00123992" w:rsidTr="00ED1C5C">
      <w:tc>
        <w:tcPr>
          <w:tcW w:w="4077" w:type="dxa"/>
        </w:tcPr>
        <w:p w:rsidR="001C5ECA" w:rsidRPr="00123992" w:rsidRDefault="001C5ECA" w:rsidP="0000601D">
          <w:pPr>
            <w:tabs>
              <w:tab w:val="left" w:pos="5010"/>
              <w:tab w:val="left" w:pos="6663"/>
            </w:tabs>
            <w:rPr>
              <w:rFonts w:asciiTheme="minorHAnsi" w:hAnsiTheme="minorHAnsi"/>
              <w:noProof/>
            </w:rPr>
          </w:pPr>
        </w:p>
      </w:tc>
      <w:tc>
        <w:tcPr>
          <w:tcW w:w="3867" w:type="dxa"/>
        </w:tcPr>
        <w:p w:rsidR="001C5ECA" w:rsidRPr="00EC6562" w:rsidRDefault="001C5ECA" w:rsidP="0000601D">
          <w:pPr>
            <w:tabs>
              <w:tab w:val="left" w:pos="5010"/>
              <w:tab w:val="left" w:pos="6663"/>
            </w:tabs>
            <w:rPr>
              <w:rFonts w:asciiTheme="minorHAnsi" w:hAnsiTheme="minorHAnsi"/>
              <w:sz w:val="20"/>
              <w:szCs w:val="20"/>
            </w:rPr>
          </w:pPr>
        </w:p>
      </w:tc>
      <w:tc>
        <w:tcPr>
          <w:tcW w:w="1346" w:type="dxa"/>
        </w:tcPr>
        <w:p w:rsidR="001C5ECA" w:rsidRPr="00EC6562" w:rsidRDefault="001C5ECA" w:rsidP="0000601D">
          <w:pPr>
            <w:tabs>
              <w:tab w:val="left" w:pos="5010"/>
              <w:tab w:val="left" w:pos="6663"/>
            </w:tabs>
            <w:jc w:val="right"/>
            <w:rPr>
              <w:rFonts w:asciiTheme="minorHAnsi" w:hAnsiTheme="minorHAnsi"/>
              <w:sz w:val="20"/>
              <w:szCs w:val="20"/>
            </w:rPr>
          </w:pPr>
          <w:bookmarkStart w:id="3" w:name="arkiverat_sf"/>
          <w:bookmarkEnd w:id="3"/>
        </w:p>
      </w:tc>
    </w:tr>
  </w:tbl>
  <w:p w:rsidR="00B5688E" w:rsidRDefault="00B5688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6"/>
      <w:gridCol w:w="3449"/>
      <w:gridCol w:w="1289"/>
    </w:tblGrid>
    <w:tr w:rsidR="00363F7D" w:rsidRPr="00123992" w:rsidTr="008F5F42">
      <w:tc>
        <w:tcPr>
          <w:tcW w:w="4361" w:type="dxa"/>
        </w:tcPr>
        <w:p w:rsidR="00363F7D" w:rsidRPr="00123992" w:rsidRDefault="002E665F" w:rsidP="00C579D4">
          <w:pPr>
            <w:tabs>
              <w:tab w:val="left" w:pos="5010"/>
              <w:tab w:val="left" w:pos="6663"/>
            </w:tabs>
            <w:rPr>
              <w:rFonts w:asciiTheme="minorHAnsi" w:hAnsiTheme="minorHAnsi"/>
            </w:rPr>
          </w:pPr>
          <w:r>
            <w:rPr>
              <w:rFonts w:asciiTheme="minorHAnsi" w:hAnsiTheme="minorHAnsi"/>
              <w:noProof/>
            </w:rPr>
            <w:drawing>
              <wp:inline distT="0" distB="0" distL="0" distR="0">
                <wp:extent cx="2906640" cy="647700"/>
                <wp:effectExtent l="19050" t="0" r="8010" b="0"/>
                <wp:docPr id="1" name="Bildobjekt 0" descr="KAROLINSKA_LOGO_sRGB_2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OLINSKA_LOGO_sRGB_2016.jpg"/>
                        <pic:cNvPicPr/>
                      </pic:nvPicPr>
                      <pic:blipFill>
                        <a:blip r:embed="rId1"/>
                        <a:stretch>
                          <a:fillRect/>
                        </a:stretch>
                      </pic:blipFill>
                      <pic:spPr>
                        <a:xfrm>
                          <a:off x="0" y="0"/>
                          <a:ext cx="2922921" cy="651328"/>
                        </a:xfrm>
                        <a:prstGeom prst="rect">
                          <a:avLst/>
                        </a:prstGeom>
                      </pic:spPr>
                    </pic:pic>
                  </a:graphicData>
                </a:graphic>
              </wp:inline>
            </w:drawing>
          </w:r>
        </w:p>
      </w:tc>
      <w:tc>
        <w:tcPr>
          <w:tcW w:w="3583" w:type="dxa"/>
        </w:tcPr>
        <w:p w:rsidR="003A5662" w:rsidRPr="00123992" w:rsidRDefault="00D973B2" w:rsidP="00773423">
          <w:pPr>
            <w:tabs>
              <w:tab w:val="left" w:pos="5010"/>
              <w:tab w:val="left" w:pos="6663"/>
            </w:tabs>
            <w:rPr>
              <w:rFonts w:asciiTheme="minorHAnsi" w:hAnsiTheme="minorHAnsi"/>
            </w:rPr>
          </w:pPr>
          <w:bookmarkStart w:id="11" w:name="Dokumenttyp"/>
          <w:r>
            <w:rPr>
              <w:rFonts w:asciiTheme="minorHAnsi" w:hAnsiTheme="minorHAnsi"/>
            </w:rPr>
            <w:t>Styrande lokalt dokument</w:t>
          </w:r>
          <w:bookmarkEnd w:id="11"/>
        </w:p>
      </w:tc>
      <w:tc>
        <w:tcPr>
          <w:tcW w:w="1346" w:type="dxa"/>
        </w:tcPr>
        <w:p w:rsidR="00363F7D" w:rsidRPr="00123992" w:rsidRDefault="00BB044B" w:rsidP="00762575">
          <w:pPr>
            <w:tabs>
              <w:tab w:val="left" w:pos="5010"/>
              <w:tab w:val="left" w:pos="6663"/>
            </w:tabs>
            <w:jc w:val="right"/>
            <w:rPr>
              <w:rFonts w:asciiTheme="minorHAnsi" w:hAnsiTheme="minorHAnsi"/>
            </w:rPr>
          </w:pPr>
          <w:r w:rsidRPr="00123992">
            <w:rPr>
              <w:rFonts w:asciiTheme="minorHAnsi" w:hAnsiTheme="minorHAnsi"/>
            </w:rPr>
            <w:fldChar w:fldCharType="begin"/>
          </w:r>
          <w:r w:rsidR="00376CF2" w:rsidRPr="00123992">
            <w:rPr>
              <w:rFonts w:asciiTheme="minorHAnsi" w:hAnsiTheme="minorHAnsi"/>
            </w:rPr>
            <w:instrText xml:space="preserve"> PAGE  \* MERGEFORMAT </w:instrText>
          </w:r>
          <w:r w:rsidRPr="00123992">
            <w:rPr>
              <w:rFonts w:asciiTheme="minorHAnsi" w:hAnsiTheme="minorHAnsi"/>
            </w:rPr>
            <w:fldChar w:fldCharType="separate"/>
          </w:r>
          <w:r w:rsidR="00047788">
            <w:rPr>
              <w:rFonts w:asciiTheme="minorHAnsi" w:hAnsiTheme="minorHAnsi"/>
              <w:noProof/>
            </w:rPr>
            <w:t>1</w:t>
          </w:r>
          <w:r w:rsidRPr="00123992">
            <w:rPr>
              <w:rFonts w:asciiTheme="minorHAnsi" w:hAnsiTheme="minorHAnsi"/>
            </w:rPr>
            <w:fldChar w:fldCharType="end"/>
          </w:r>
          <w:r w:rsidR="00363F7D" w:rsidRPr="00123992">
            <w:rPr>
              <w:rFonts w:asciiTheme="minorHAnsi" w:hAnsiTheme="minorHAnsi"/>
            </w:rPr>
            <w:t xml:space="preserve"> (</w:t>
          </w:r>
          <w:r w:rsidR="003A253B">
            <w:rPr>
              <w:rFonts w:asciiTheme="minorHAnsi" w:hAnsiTheme="minorHAnsi"/>
              <w:noProof/>
            </w:rPr>
            <w:fldChar w:fldCharType="begin"/>
          </w:r>
          <w:r w:rsidR="003A253B">
            <w:rPr>
              <w:rFonts w:asciiTheme="minorHAnsi" w:hAnsiTheme="minorHAnsi"/>
              <w:noProof/>
            </w:rPr>
            <w:instrText xml:space="preserve"> NUMPAGES  \* MERGEFORMAT </w:instrText>
          </w:r>
          <w:r w:rsidR="003A253B">
            <w:rPr>
              <w:rFonts w:asciiTheme="minorHAnsi" w:hAnsiTheme="minorHAnsi"/>
              <w:noProof/>
            </w:rPr>
            <w:fldChar w:fldCharType="separate"/>
          </w:r>
          <w:r w:rsidR="00047788" w:rsidRPr="00047788">
            <w:rPr>
              <w:rFonts w:asciiTheme="minorHAnsi" w:hAnsiTheme="minorHAnsi"/>
              <w:noProof/>
            </w:rPr>
            <w:t>2</w:t>
          </w:r>
          <w:r w:rsidR="003A253B">
            <w:rPr>
              <w:rFonts w:asciiTheme="minorHAnsi" w:hAnsiTheme="minorHAnsi"/>
              <w:noProof/>
            </w:rPr>
            <w:fldChar w:fldCharType="end"/>
          </w:r>
          <w:r w:rsidR="00363F7D" w:rsidRPr="00123992">
            <w:rPr>
              <w:rFonts w:asciiTheme="minorHAnsi" w:hAnsiTheme="minorHAnsi"/>
            </w:rPr>
            <w:t>)</w:t>
          </w:r>
        </w:p>
      </w:tc>
    </w:tr>
    <w:tr w:rsidR="003A5662" w:rsidRPr="00123992" w:rsidTr="008F5F42">
      <w:tc>
        <w:tcPr>
          <w:tcW w:w="4361" w:type="dxa"/>
        </w:tcPr>
        <w:p w:rsidR="003A5662" w:rsidRPr="00123992" w:rsidRDefault="003A5662" w:rsidP="00C579D4">
          <w:pPr>
            <w:tabs>
              <w:tab w:val="left" w:pos="5010"/>
              <w:tab w:val="left" w:pos="6663"/>
            </w:tabs>
            <w:rPr>
              <w:rFonts w:asciiTheme="minorHAnsi" w:hAnsiTheme="minorHAnsi"/>
              <w:noProof/>
            </w:rPr>
          </w:pPr>
        </w:p>
      </w:tc>
      <w:tc>
        <w:tcPr>
          <w:tcW w:w="3583" w:type="dxa"/>
        </w:tcPr>
        <w:p w:rsidR="003A5662" w:rsidRPr="00EC6562" w:rsidRDefault="003A5662" w:rsidP="00773423">
          <w:pPr>
            <w:tabs>
              <w:tab w:val="left" w:pos="5010"/>
              <w:tab w:val="left" w:pos="6663"/>
            </w:tabs>
            <w:rPr>
              <w:rFonts w:asciiTheme="minorHAnsi" w:hAnsiTheme="minorHAnsi"/>
              <w:sz w:val="20"/>
              <w:szCs w:val="20"/>
            </w:rPr>
          </w:pPr>
          <w:bookmarkStart w:id="12" w:name="giltigdatum_ny"/>
          <w:bookmarkEnd w:id="12"/>
        </w:p>
      </w:tc>
      <w:tc>
        <w:tcPr>
          <w:tcW w:w="1346" w:type="dxa"/>
        </w:tcPr>
        <w:p w:rsidR="003A5662" w:rsidRPr="00EC6562" w:rsidRDefault="003A5662" w:rsidP="00762575">
          <w:pPr>
            <w:tabs>
              <w:tab w:val="left" w:pos="5010"/>
              <w:tab w:val="left" w:pos="6663"/>
            </w:tabs>
            <w:jc w:val="right"/>
            <w:rPr>
              <w:rFonts w:asciiTheme="minorHAnsi" w:hAnsiTheme="minorHAnsi"/>
              <w:sz w:val="20"/>
              <w:szCs w:val="20"/>
            </w:rPr>
          </w:pPr>
          <w:bookmarkStart w:id="13" w:name="arkiverat"/>
          <w:bookmarkEnd w:id="13"/>
        </w:p>
      </w:tc>
    </w:tr>
  </w:tbl>
  <w:p w:rsidR="00C579D4" w:rsidRDefault="00C579D4" w:rsidP="008F5F42">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D32C81"/>
    <w:multiLevelType w:val="hybridMultilevel"/>
    <w:tmpl w:val="2390AEE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noPunctuationKerning/>
  <w:characterSpacingControl w:val="doNotCompress"/>
  <w:hdrShapeDefaults>
    <o:shapedefaults v:ext="edit" spidmax="2131" style="mso-position-horizontal-relative:page;mso-position-vertical-relative:page" fill="f" fillcolor="white" stroke="f">
      <v:fill color="white" on="f"/>
      <v:stroke on="f"/>
      <o:colormenu v:ext="edit" strokecolor="black"/>
    </o:shapedefaults>
    <o:shapelayout v:ext="edit">
      <o:idmap v:ext="edit" data="2"/>
      <o:regrouptable v:ext="edit">
        <o:entry new="1" old="0"/>
      </o:regrouptable>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lcAvailableTexts" w:val="Fraser"/>
    <w:docVar w:name="lcCancel" w:val="Avbryt"/>
    <w:docVar w:name="lcCategory" w:val="Kategori"/>
    <w:docVar w:name="lcDescription" w:val="Beskrivning"/>
    <w:docVar w:name="lcDlgTitle" w:val="Frasbibliotek"/>
    <w:docVar w:name="lcInsert" w:val="Infoga"/>
    <w:docVar w:name="lcInsertReusableText" w:val="Välj från Frasbiblioteket..."/>
    <w:docVar w:name="lcPDFEMail" w:val="Konvertera till PDF och e-posta"/>
    <w:docVar w:name="lcPDFSave" w:val="Spara som PDF..."/>
    <w:docVar w:name="lcSave" w:val="Spara"/>
    <w:docVar w:name="lcSaveReusableText" w:val="Spara till Frasbiblioteket..."/>
    <w:docVar w:name="lcSearch" w:val="Sök"/>
    <w:docVar w:name="lcSearchAll" w:val="Sök Fraser"/>
    <w:docVar w:name="lcSearchFor" w:val="Sök efter:"/>
    <w:docVar w:name="lcTitle" w:val="Titel"/>
    <w:docVar w:name="SwDialogEnabled" w:val="False"/>
  </w:docVars>
  <w:rsids>
    <w:rsidRoot w:val="00A80F9E"/>
    <w:rsid w:val="00010352"/>
    <w:rsid w:val="000114E3"/>
    <w:rsid w:val="00015875"/>
    <w:rsid w:val="00046063"/>
    <w:rsid w:val="00046189"/>
    <w:rsid w:val="00047788"/>
    <w:rsid w:val="00047E0F"/>
    <w:rsid w:val="00051851"/>
    <w:rsid w:val="00072F71"/>
    <w:rsid w:val="00080A88"/>
    <w:rsid w:val="00090B26"/>
    <w:rsid w:val="00097170"/>
    <w:rsid w:val="000A6A10"/>
    <w:rsid w:val="000B17EC"/>
    <w:rsid w:val="000B4D3D"/>
    <w:rsid w:val="000C04C7"/>
    <w:rsid w:val="000D4E47"/>
    <w:rsid w:val="000E3AC9"/>
    <w:rsid w:val="000F3530"/>
    <w:rsid w:val="000F4D65"/>
    <w:rsid w:val="00100FDC"/>
    <w:rsid w:val="00101E13"/>
    <w:rsid w:val="001101F1"/>
    <w:rsid w:val="00123992"/>
    <w:rsid w:val="001439DF"/>
    <w:rsid w:val="001504AB"/>
    <w:rsid w:val="001516CD"/>
    <w:rsid w:val="00156D98"/>
    <w:rsid w:val="00167279"/>
    <w:rsid w:val="00191D8A"/>
    <w:rsid w:val="0019376C"/>
    <w:rsid w:val="001A1351"/>
    <w:rsid w:val="001C1BBD"/>
    <w:rsid w:val="001C3913"/>
    <w:rsid w:val="001C5ECA"/>
    <w:rsid w:val="001C71C5"/>
    <w:rsid w:val="001C7479"/>
    <w:rsid w:val="001D0E4E"/>
    <w:rsid w:val="001E2505"/>
    <w:rsid w:val="001E6A21"/>
    <w:rsid w:val="001F232D"/>
    <w:rsid w:val="001F2B1C"/>
    <w:rsid w:val="00224F18"/>
    <w:rsid w:val="00233A25"/>
    <w:rsid w:val="00235B0D"/>
    <w:rsid w:val="00242A90"/>
    <w:rsid w:val="002642CE"/>
    <w:rsid w:val="002769F1"/>
    <w:rsid w:val="002C1CF4"/>
    <w:rsid w:val="002C4C2A"/>
    <w:rsid w:val="002C4EDA"/>
    <w:rsid w:val="002C574A"/>
    <w:rsid w:val="002C57F8"/>
    <w:rsid w:val="002E665F"/>
    <w:rsid w:val="002F6D2D"/>
    <w:rsid w:val="00321188"/>
    <w:rsid w:val="00323C05"/>
    <w:rsid w:val="0033668A"/>
    <w:rsid w:val="003539AA"/>
    <w:rsid w:val="00356E00"/>
    <w:rsid w:val="00363F7D"/>
    <w:rsid w:val="00376CF2"/>
    <w:rsid w:val="003A253B"/>
    <w:rsid w:val="003A5662"/>
    <w:rsid w:val="003B131D"/>
    <w:rsid w:val="003C230B"/>
    <w:rsid w:val="003C7DDC"/>
    <w:rsid w:val="003D3D1C"/>
    <w:rsid w:val="003F5240"/>
    <w:rsid w:val="003F7062"/>
    <w:rsid w:val="00402C2E"/>
    <w:rsid w:val="004042DC"/>
    <w:rsid w:val="004056C6"/>
    <w:rsid w:val="00405774"/>
    <w:rsid w:val="00405E69"/>
    <w:rsid w:val="00407F90"/>
    <w:rsid w:val="004111D2"/>
    <w:rsid w:val="00447EBD"/>
    <w:rsid w:val="00463852"/>
    <w:rsid w:val="00463CE9"/>
    <w:rsid w:val="004644A8"/>
    <w:rsid w:val="00473759"/>
    <w:rsid w:val="00474607"/>
    <w:rsid w:val="00490606"/>
    <w:rsid w:val="004C5F7B"/>
    <w:rsid w:val="004E0843"/>
    <w:rsid w:val="00502B3C"/>
    <w:rsid w:val="00505E91"/>
    <w:rsid w:val="00522CC6"/>
    <w:rsid w:val="00523EAD"/>
    <w:rsid w:val="005253BF"/>
    <w:rsid w:val="005262F7"/>
    <w:rsid w:val="00533490"/>
    <w:rsid w:val="00536E3C"/>
    <w:rsid w:val="00541570"/>
    <w:rsid w:val="00541FCA"/>
    <w:rsid w:val="00543742"/>
    <w:rsid w:val="005647A8"/>
    <w:rsid w:val="00576479"/>
    <w:rsid w:val="00594B6A"/>
    <w:rsid w:val="005A75E6"/>
    <w:rsid w:val="005B04BF"/>
    <w:rsid w:val="005C1E82"/>
    <w:rsid w:val="005C2A6A"/>
    <w:rsid w:val="005C50FF"/>
    <w:rsid w:val="005C7CF9"/>
    <w:rsid w:val="00602275"/>
    <w:rsid w:val="00605C27"/>
    <w:rsid w:val="006138C1"/>
    <w:rsid w:val="00624F6F"/>
    <w:rsid w:val="006330C0"/>
    <w:rsid w:val="00663476"/>
    <w:rsid w:val="0066413E"/>
    <w:rsid w:val="00664ED1"/>
    <w:rsid w:val="006658CE"/>
    <w:rsid w:val="00666B34"/>
    <w:rsid w:val="0067257A"/>
    <w:rsid w:val="00677161"/>
    <w:rsid w:val="0068125E"/>
    <w:rsid w:val="006A552A"/>
    <w:rsid w:val="006D2669"/>
    <w:rsid w:val="006D3EEA"/>
    <w:rsid w:val="006E318F"/>
    <w:rsid w:val="006E5CD4"/>
    <w:rsid w:val="00720662"/>
    <w:rsid w:val="00730505"/>
    <w:rsid w:val="007310E3"/>
    <w:rsid w:val="00732E14"/>
    <w:rsid w:val="0073674B"/>
    <w:rsid w:val="00736AC7"/>
    <w:rsid w:val="00756427"/>
    <w:rsid w:val="00762575"/>
    <w:rsid w:val="00765D85"/>
    <w:rsid w:val="0076688B"/>
    <w:rsid w:val="00773423"/>
    <w:rsid w:val="007825F9"/>
    <w:rsid w:val="00784D4F"/>
    <w:rsid w:val="00792109"/>
    <w:rsid w:val="007A7CD8"/>
    <w:rsid w:val="007C46E0"/>
    <w:rsid w:val="007C481A"/>
    <w:rsid w:val="007D561A"/>
    <w:rsid w:val="00820E06"/>
    <w:rsid w:val="0083084E"/>
    <w:rsid w:val="0084434C"/>
    <w:rsid w:val="00866CF5"/>
    <w:rsid w:val="008765DF"/>
    <w:rsid w:val="00877AF7"/>
    <w:rsid w:val="00884C34"/>
    <w:rsid w:val="00887EA3"/>
    <w:rsid w:val="00893D63"/>
    <w:rsid w:val="008956CE"/>
    <w:rsid w:val="008A147E"/>
    <w:rsid w:val="008A3A20"/>
    <w:rsid w:val="008A6A48"/>
    <w:rsid w:val="008B6CB0"/>
    <w:rsid w:val="008C2B03"/>
    <w:rsid w:val="008D143D"/>
    <w:rsid w:val="008D4840"/>
    <w:rsid w:val="008E03CB"/>
    <w:rsid w:val="008F25CC"/>
    <w:rsid w:val="008F5F42"/>
    <w:rsid w:val="008F6310"/>
    <w:rsid w:val="00916924"/>
    <w:rsid w:val="00926A38"/>
    <w:rsid w:val="00942C60"/>
    <w:rsid w:val="00946C7B"/>
    <w:rsid w:val="00947A73"/>
    <w:rsid w:val="009630F2"/>
    <w:rsid w:val="00964350"/>
    <w:rsid w:val="0097166F"/>
    <w:rsid w:val="00974E1B"/>
    <w:rsid w:val="009954D8"/>
    <w:rsid w:val="00996DBF"/>
    <w:rsid w:val="009A033E"/>
    <w:rsid w:val="009A0B7E"/>
    <w:rsid w:val="009B04F6"/>
    <w:rsid w:val="009C2F30"/>
    <w:rsid w:val="009D2946"/>
    <w:rsid w:val="009D51B5"/>
    <w:rsid w:val="009E34D9"/>
    <w:rsid w:val="009E6815"/>
    <w:rsid w:val="009F03FB"/>
    <w:rsid w:val="009F62A7"/>
    <w:rsid w:val="00A13054"/>
    <w:rsid w:val="00A1365F"/>
    <w:rsid w:val="00A2145A"/>
    <w:rsid w:val="00A31276"/>
    <w:rsid w:val="00A34BD4"/>
    <w:rsid w:val="00A50CC6"/>
    <w:rsid w:val="00A67932"/>
    <w:rsid w:val="00A73FE6"/>
    <w:rsid w:val="00A7734E"/>
    <w:rsid w:val="00A808AE"/>
    <w:rsid w:val="00A80F9E"/>
    <w:rsid w:val="00A83DA6"/>
    <w:rsid w:val="00AA2C66"/>
    <w:rsid w:val="00AD7B2E"/>
    <w:rsid w:val="00AE2C8C"/>
    <w:rsid w:val="00AF69EE"/>
    <w:rsid w:val="00B00F3E"/>
    <w:rsid w:val="00B2112E"/>
    <w:rsid w:val="00B22B7D"/>
    <w:rsid w:val="00B237A2"/>
    <w:rsid w:val="00B24C48"/>
    <w:rsid w:val="00B46D94"/>
    <w:rsid w:val="00B5688E"/>
    <w:rsid w:val="00B7532A"/>
    <w:rsid w:val="00B81FC6"/>
    <w:rsid w:val="00B85E7F"/>
    <w:rsid w:val="00BA3DB1"/>
    <w:rsid w:val="00BB044B"/>
    <w:rsid w:val="00BB2D58"/>
    <w:rsid w:val="00BB74B1"/>
    <w:rsid w:val="00BC2905"/>
    <w:rsid w:val="00BD7647"/>
    <w:rsid w:val="00BF186B"/>
    <w:rsid w:val="00C11263"/>
    <w:rsid w:val="00C11EF7"/>
    <w:rsid w:val="00C215F0"/>
    <w:rsid w:val="00C27304"/>
    <w:rsid w:val="00C579D4"/>
    <w:rsid w:val="00C712F5"/>
    <w:rsid w:val="00C90CCA"/>
    <w:rsid w:val="00C9172B"/>
    <w:rsid w:val="00CA6F8A"/>
    <w:rsid w:val="00CB116E"/>
    <w:rsid w:val="00CB341B"/>
    <w:rsid w:val="00CC3836"/>
    <w:rsid w:val="00CC4FA1"/>
    <w:rsid w:val="00CC73B9"/>
    <w:rsid w:val="00CD53DF"/>
    <w:rsid w:val="00CF4644"/>
    <w:rsid w:val="00D204EB"/>
    <w:rsid w:val="00D21D17"/>
    <w:rsid w:val="00D24FFA"/>
    <w:rsid w:val="00D270A5"/>
    <w:rsid w:val="00D3561B"/>
    <w:rsid w:val="00D37D27"/>
    <w:rsid w:val="00D41DAA"/>
    <w:rsid w:val="00D50DA7"/>
    <w:rsid w:val="00D56B21"/>
    <w:rsid w:val="00D60013"/>
    <w:rsid w:val="00D67F3A"/>
    <w:rsid w:val="00D7790F"/>
    <w:rsid w:val="00D9218C"/>
    <w:rsid w:val="00D973B2"/>
    <w:rsid w:val="00DA4158"/>
    <w:rsid w:val="00DB4E9F"/>
    <w:rsid w:val="00DC3FBD"/>
    <w:rsid w:val="00DD5C4F"/>
    <w:rsid w:val="00DF3558"/>
    <w:rsid w:val="00DF3638"/>
    <w:rsid w:val="00E169EE"/>
    <w:rsid w:val="00E21228"/>
    <w:rsid w:val="00E63120"/>
    <w:rsid w:val="00E64F96"/>
    <w:rsid w:val="00E7592E"/>
    <w:rsid w:val="00E82565"/>
    <w:rsid w:val="00E94A0B"/>
    <w:rsid w:val="00E97866"/>
    <w:rsid w:val="00EA1194"/>
    <w:rsid w:val="00EA6533"/>
    <w:rsid w:val="00EB626B"/>
    <w:rsid w:val="00EC191C"/>
    <w:rsid w:val="00EC6562"/>
    <w:rsid w:val="00EC6E22"/>
    <w:rsid w:val="00ED1C5C"/>
    <w:rsid w:val="00ED41EB"/>
    <w:rsid w:val="00ED57E2"/>
    <w:rsid w:val="00EE5B69"/>
    <w:rsid w:val="00EE6DF8"/>
    <w:rsid w:val="00EF6425"/>
    <w:rsid w:val="00F0551D"/>
    <w:rsid w:val="00F055D4"/>
    <w:rsid w:val="00F11FD1"/>
    <w:rsid w:val="00F273B9"/>
    <w:rsid w:val="00F62AA2"/>
    <w:rsid w:val="00F8194A"/>
    <w:rsid w:val="00F93951"/>
    <w:rsid w:val="00FB4BA2"/>
    <w:rsid w:val="00FB7D90"/>
    <w:rsid w:val="00FE15A1"/>
    <w:rsid w:val="00FE277A"/>
    <w:rsid w:val="00FF044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31" style="mso-position-horizontal-relative:page;mso-position-vertical-relative:page" fill="f" fillcolor="white" stroke="f">
      <v:fill color="white" on="f"/>
      <v:stroke on="f"/>
      <o:colormenu v:ext="edit" strokecolor="black"/>
    </o:shapedefaults>
    <o:shapelayout v:ext="edit">
      <o:idmap v:ext="edit" data="1"/>
    </o:shapelayout>
  </w:shapeDefaults>
  <w:decimalSymbol w:val=","/>
  <w:listSeparator w:val=";"/>
  <w15:docId w15:val="{989642D9-803D-4AB6-8B8E-65B689733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C1BBD"/>
    <w:pPr>
      <w:widowControl w:val="0"/>
    </w:pPr>
    <w:rPr>
      <w:sz w:val="24"/>
      <w:szCs w:val="24"/>
    </w:rPr>
  </w:style>
  <w:style w:type="paragraph" w:styleId="Rubrik1">
    <w:name w:val="heading 1"/>
    <w:aliases w:val="KU Rubrik 1"/>
    <w:basedOn w:val="Normal"/>
    <w:next w:val="Normal"/>
    <w:qFormat/>
    <w:rsid w:val="001C1BBD"/>
    <w:pPr>
      <w:keepNext/>
      <w:outlineLvl w:val="0"/>
    </w:pPr>
    <w:rPr>
      <w:rFonts w:cs="Arial"/>
      <w:b/>
      <w:bCs/>
      <w:kern w:val="32"/>
      <w:sz w:val="28"/>
      <w:szCs w:val="28"/>
    </w:rPr>
  </w:style>
  <w:style w:type="paragraph" w:styleId="Rubrik2">
    <w:name w:val="heading 2"/>
    <w:aliases w:val="Ku Rubrik 2 indrag"/>
    <w:basedOn w:val="Normal"/>
    <w:next w:val="KuRapportBrdtextindrag"/>
    <w:qFormat/>
    <w:rsid w:val="001C1BBD"/>
    <w:pPr>
      <w:keepNext/>
      <w:ind w:left="1134"/>
      <w:outlineLvl w:val="1"/>
    </w:pPr>
    <w:rPr>
      <w:rFonts w:cs="Arial"/>
      <w:b/>
      <w:bCs/>
      <w:iCs/>
      <w:szCs w:val="28"/>
    </w:rPr>
  </w:style>
  <w:style w:type="paragraph" w:styleId="Rubrik3">
    <w:name w:val="heading 3"/>
    <w:aliases w:val="Ku Underrubrik 3"/>
    <w:basedOn w:val="Normal"/>
    <w:next w:val="KuRapportbrdtextunderniv"/>
    <w:qFormat/>
    <w:rsid w:val="001C1BBD"/>
    <w:pPr>
      <w:keepNext/>
      <w:outlineLvl w:val="2"/>
    </w:pPr>
    <w:rPr>
      <w:rFonts w:cs="Arial"/>
      <w:b/>
      <w:bCs/>
      <w:sz w:val="20"/>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Brevhuvud">
    <w:name w:val="Brevhuvud"/>
    <w:basedOn w:val="Normal"/>
    <w:rsid w:val="001C1BBD"/>
    <w:pPr>
      <w:framePr w:hSpace="181" w:wrap="auto" w:vAnchor="page" w:hAnchor="page" w:x="1419" w:y="1039"/>
      <w:ind w:left="28"/>
    </w:pPr>
    <w:rPr>
      <w:noProof/>
    </w:rPr>
  </w:style>
  <w:style w:type="paragraph" w:customStyle="1" w:styleId="KuRapportBrdtextindrag">
    <w:name w:val="Ku Rapport Brödtext indrag"/>
    <w:basedOn w:val="Normal"/>
    <w:rsid w:val="001C1BBD"/>
    <w:pPr>
      <w:ind w:left="1134"/>
    </w:pPr>
    <w:rPr>
      <w:szCs w:val="20"/>
    </w:rPr>
  </w:style>
  <w:style w:type="paragraph" w:customStyle="1" w:styleId="KuRapportbrdtextunderniv">
    <w:name w:val="Ku Rapport brödtext undernivå"/>
    <w:basedOn w:val="Normal"/>
    <w:rsid w:val="001C1BBD"/>
    <w:rPr>
      <w:sz w:val="20"/>
      <w:szCs w:val="20"/>
    </w:rPr>
  </w:style>
  <w:style w:type="paragraph" w:styleId="Sidfot">
    <w:name w:val="footer"/>
    <w:basedOn w:val="Normal"/>
    <w:rsid w:val="001C1BBD"/>
    <w:pPr>
      <w:tabs>
        <w:tab w:val="center" w:pos="4320"/>
        <w:tab w:val="right" w:pos="8640"/>
      </w:tabs>
    </w:pPr>
  </w:style>
  <w:style w:type="paragraph" w:styleId="Sidhuvud">
    <w:name w:val="header"/>
    <w:basedOn w:val="Normal"/>
    <w:rsid w:val="001C1BBD"/>
    <w:pPr>
      <w:tabs>
        <w:tab w:val="center" w:pos="4320"/>
        <w:tab w:val="right" w:pos="8640"/>
      </w:tabs>
    </w:pPr>
  </w:style>
  <w:style w:type="paragraph" w:styleId="Ballongtext">
    <w:name w:val="Balloon Text"/>
    <w:basedOn w:val="Normal"/>
    <w:semiHidden/>
    <w:rsid w:val="001C1BBD"/>
    <w:rPr>
      <w:rFonts w:ascii="Tahoma" w:hAnsi="Tahoma" w:cs="Tahoma"/>
      <w:sz w:val="16"/>
      <w:szCs w:val="16"/>
    </w:rPr>
  </w:style>
  <w:style w:type="table" w:styleId="Tabellrutnt">
    <w:name w:val="Table Grid"/>
    <w:basedOn w:val="Normaltabell"/>
    <w:uiPriority w:val="39"/>
    <w:rsid w:val="00C579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stycke">
    <w:name w:val="List Paragraph"/>
    <w:basedOn w:val="Normal"/>
    <w:uiPriority w:val="34"/>
    <w:qFormat/>
    <w:rsid w:val="003A253B"/>
    <w:pPr>
      <w:widowControl/>
      <w:ind w:left="720"/>
      <w:contextualSpacing/>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540714-D4E2-4BC5-B9A6-551059F53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A5FC3487</Template>
  <TotalTime>1</TotalTime>
  <Pages>4</Pages>
  <Words>1419</Words>
  <Characters>7523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Dokumentnamn </vt:lpstr>
    </vt:vector>
  </TitlesOfParts>
  <Company>Karolinska</Company>
  <LinksUpToDate>false</LinksUpToDate>
  <CharactersWithSpaces>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Dokumentnamn</dc:title>
  <dc:creator>Adam</dc:creator>
  <dc:description>Freeducation 2005</dc:description>
  <cp:lastModifiedBy>Susanne Klintberg</cp:lastModifiedBy>
  <cp:revision>6</cp:revision>
  <cp:lastPrinted>2005-03-23T12:04:00Z</cp:lastPrinted>
  <dcterms:created xsi:type="dcterms:W3CDTF">2020-10-13T08:20:00Z</dcterms:created>
  <dcterms:modified xsi:type="dcterms:W3CDTF">2021-03-04T09:57:00Z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_IntOfficeMacros">
    <vt:lpwstr>Enabled</vt:lpwstr>
  </property>
  <property fmtid="{D5CDD505-2E9C-101B-9397-08002B2CF9AE}" pid="3" name="SW_CustomTitle">
    <vt:lpwstr>SWING Integrator 5 Document</vt:lpwstr>
  </property>
  <property fmtid="{D5CDD505-2E9C-101B-9397-08002B2CF9AE}" pid="4" name="SW_SaveText">
    <vt:lpwstr>Spara till Notes</vt:lpwstr>
  </property>
  <property fmtid="{D5CDD505-2E9C-101B-9397-08002B2CF9AE}" pid="5" name="SW_SaveCloseOfficeText">
    <vt:lpwstr>Spara och Stäng Officedokument</vt:lpwstr>
  </property>
  <property fmtid="{D5CDD505-2E9C-101B-9397-08002B2CF9AE}" pid="6" name="SW_SaveCloseText">
    <vt:lpwstr>Spara och Stäng Notes dokument</vt:lpwstr>
  </property>
  <property fmtid="{D5CDD505-2E9C-101B-9397-08002B2CF9AE}" pid="7" name="SW_DocUNID">
    <vt:lpwstr/>
  </property>
  <property fmtid="{D5CDD505-2E9C-101B-9397-08002B2CF9AE}" pid="8" name="SW_DocHWND">
    <vt:r8>136318</vt:r8>
  </property>
  <property fmtid="{D5CDD505-2E9C-101B-9397-08002B2CF9AE}" pid="9" name="SW_DialogTitle">
    <vt:lpwstr>SWING Integrator för Notes och Office</vt:lpwstr>
  </property>
  <property fmtid="{D5CDD505-2E9C-101B-9397-08002B2CF9AE}" pid="10" name="SW_PromptText">
    <vt:lpwstr>Vill du spara?</vt:lpwstr>
  </property>
  <property fmtid="{D5CDD505-2E9C-101B-9397-08002B2CF9AE}" pid="11" name="SW_NewDocument">
    <vt:lpwstr/>
  </property>
  <property fmtid="{D5CDD505-2E9C-101B-9397-08002B2CF9AE}" pid="12" name="SW_TemplateServer">
    <vt:lpwstr/>
  </property>
  <property fmtid="{D5CDD505-2E9C-101B-9397-08002B2CF9AE}" pid="13" name="SW_TemplateDB">
    <vt:lpwstr/>
  </property>
  <property fmtid="{D5CDD505-2E9C-101B-9397-08002B2CF9AE}" pid="14" name="SW_NotesContext">
    <vt:lpwstr/>
  </property>
  <property fmtid="{D5CDD505-2E9C-101B-9397-08002B2CF9AE}" pid="15" name="SW_DocumentServer">
    <vt:lpwstr>CN=lis02.sll.se/OU=Servers/O=SLLLIS</vt:lpwstr>
  </property>
  <property fmtid="{D5CDD505-2E9C-101B-9397-08002B2CF9AE}" pid="16" name="SW_DocumentDB">
    <vt:lpwstr>prod\karolinska\lis\verksamhetshandbok\vhandbok.nsf</vt:lpwstr>
  </property>
  <property fmtid="{D5CDD505-2E9C-101B-9397-08002B2CF9AE}" pid="17" name="SW_ShowContentLibMenus">
    <vt:bool>true</vt:bool>
  </property>
  <property fmtid="{D5CDD505-2E9C-101B-9397-08002B2CF9AE}" pid="18" name="SW_SaveAsPrompt">
    <vt:lpwstr>Dokumentet har inte blivit sparat och du håller på att jobba med en lokal kopia av dokumentet. För att behålla ändringarna i Lotus Notes-databasen måste du spara dokumentet. Vill du fortsätta?</vt:lpwstr>
  </property>
  <property fmtid="{D5CDD505-2E9C-101B-9397-08002B2CF9AE}" pid="19" name="SW_VisibleVBAMacroMenuItems">
    <vt:r8>127</vt:r8>
  </property>
  <property fmtid="{D5CDD505-2E9C-101B-9397-08002B2CF9AE}" pid="20" name="SW_EnabledVBAMacroMenuItems">
    <vt:r8>7</vt:r8>
  </property>
  <property fmtid="{D5CDD505-2E9C-101B-9397-08002B2CF9AE}" pid="21" name="SW_AddinName">
    <vt:lpwstr>SWINGINTEGRATOR.5.29.000.DOT</vt:lpwstr>
  </property>
</Properties>
</file>