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Mola hydatidosa och gestationella trofoblasttumörer"/>
            </w:textInput>
          </w:ffData>
        </w:fldChar>
      </w:r>
      <w:r w:rsidR="00BA3DB1" w:rsidRPr="00BA3DB1">
        <w:instrText xml:space="preserve"> FORMTEXT </w:instrText>
      </w:r>
      <w:r w:rsidR="003460A2">
        <w:rPr>
          <w:lang w:val="en-US"/>
        </w:rPr>
      </w:r>
      <w:r>
        <w:rPr>
          <w:lang w:val="en-US"/>
        </w:rPr>
        <w:fldChar w:fldCharType="separate"/>
      </w:r>
      <w:r w:rsidR="003460A2">
        <w:rPr>
          <w:lang w:val="en-US"/>
        </w:rPr>
        <w:t>Mola hydatidosa och gestationella trofoblasttumörer</w:t>
      </w:r>
      <w:r>
        <w:rPr>
          <w:lang w:val="en-US"/>
        </w:rPr>
        <w:fldChar w:fldCharType="end"/>
      </w:r>
      <w:bookmarkEnd w:id="0"/>
      <w:r w:rsidR="005253BF" w:rsidRPr="00BA3DB1">
        <w:t xml:space="preserve"> </w:t>
      </w:r>
    </w:p>
    <w:p w:rsidR="009D2946" w:rsidRPr="00046189" w:rsidRDefault="009D2946" w:rsidP="00730505"/>
    <w:p w:rsidR="00D97E1E" w:rsidRPr="00D97E1E" w:rsidRDefault="00D97E1E" w:rsidP="00D97E1E">
      <w:pPr>
        <w:autoSpaceDE w:val="0"/>
        <w:autoSpaceDN w:val="0"/>
        <w:adjustRightInd w:val="0"/>
        <w:spacing w:after="240"/>
        <w:rPr>
          <w:b/>
          <w:bCs/>
          <w:szCs w:val="28"/>
        </w:rPr>
      </w:pPr>
      <w:r w:rsidRPr="00D97E1E">
        <w:rPr>
          <w:b/>
          <w:bCs/>
          <w:szCs w:val="28"/>
        </w:rPr>
        <w:t xml:space="preserve">Gestationella trofoblasttumörer (GTD-gestational trophoblastic disease) </w:t>
      </w:r>
      <w:r w:rsidRPr="00D97E1E">
        <w:rPr>
          <w:bCs/>
          <w:szCs w:val="28"/>
        </w:rPr>
        <w:t>har sitt ursprung ur graviditet och består av prolifererande placentavävnad. GTD delas upp i de premaligna formerna komplett och partiell mola hydatidosa, som båda är patologiska graviditeter, och i de maligna formerna invasiv mola, choriocarcinom, placental site trophoblastic tumor och epitheloid trophoblastic tumor. Invasiv mola kan endast uppstå efter en tidigare molagraviditet, medan de tre sistnämnda maligna formerna kan uppstå efter vilken graviditet som helst. De maligna formerna brukar samlas under begreppet gestational trophoblastic neoplasia, GTN, då en malign trofoblastsjukdom oftast är en kriteriediagnos, och man därför sällan har en histologisk diagnos av subtyp.</w:t>
      </w:r>
    </w:p>
    <w:p w:rsidR="00D97E1E" w:rsidRPr="00D97E1E" w:rsidRDefault="00D97E1E" w:rsidP="00D97E1E">
      <w:pPr>
        <w:autoSpaceDE w:val="0"/>
        <w:autoSpaceDN w:val="0"/>
        <w:adjustRightInd w:val="0"/>
        <w:spacing w:after="240"/>
        <w:rPr>
          <w:b/>
          <w:bCs/>
          <w:szCs w:val="28"/>
        </w:rPr>
      </w:pPr>
      <w:r w:rsidRPr="00D97E1E">
        <w:rPr>
          <w:b/>
          <w:bCs/>
          <w:szCs w:val="28"/>
        </w:rPr>
        <w:t>Mola hydatidosa</w:t>
      </w:r>
    </w:p>
    <w:p w:rsidR="00D97E1E" w:rsidRPr="00D97E1E" w:rsidRDefault="00D97E1E" w:rsidP="00D97E1E">
      <w:pPr>
        <w:autoSpaceDE w:val="0"/>
        <w:autoSpaceDN w:val="0"/>
        <w:adjustRightInd w:val="0"/>
        <w:spacing w:after="240"/>
        <w:rPr>
          <w:b/>
          <w:bCs/>
          <w:szCs w:val="28"/>
        </w:rPr>
      </w:pPr>
      <w:r w:rsidRPr="00D97E1E">
        <w:rPr>
          <w:b/>
          <w:bCs/>
          <w:szCs w:val="28"/>
        </w:rPr>
        <w:t>Patologi och genetik</w:t>
      </w:r>
    </w:p>
    <w:p w:rsidR="00D97E1E" w:rsidRPr="00D97E1E" w:rsidRDefault="00D97E1E" w:rsidP="00D97E1E">
      <w:pPr>
        <w:pStyle w:val="Liststycke"/>
        <w:widowControl w:val="0"/>
        <w:numPr>
          <w:ilvl w:val="0"/>
          <w:numId w:val="2"/>
        </w:numPr>
        <w:autoSpaceDE w:val="0"/>
        <w:autoSpaceDN w:val="0"/>
        <w:adjustRightInd w:val="0"/>
        <w:spacing w:after="240"/>
        <w:rPr>
          <w:rFonts w:ascii="Times New Roman" w:hAnsi="Times New Roman" w:cs="Times New Roman"/>
          <w:b/>
          <w:bCs/>
          <w:szCs w:val="28"/>
        </w:rPr>
      </w:pPr>
      <w:r w:rsidRPr="00D97E1E">
        <w:rPr>
          <w:rFonts w:ascii="Times New Roman" w:hAnsi="Times New Roman" w:cs="Times New Roman"/>
          <w:b/>
          <w:bCs/>
          <w:szCs w:val="28"/>
        </w:rPr>
        <w:t xml:space="preserve">Komplett mola </w:t>
      </w:r>
    </w:p>
    <w:p w:rsidR="00D97E1E" w:rsidRPr="008F1A23" w:rsidRDefault="00D97E1E" w:rsidP="00D97E1E">
      <w:pPr>
        <w:autoSpaceDE w:val="0"/>
        <w:autoSpaceDN w:val="0"/>
        <w:adjustRightInd w:val="0"/>
        <w:rPr>
          <w:sz w:val="28"/>
          <w:szCs w:val="28"/>
        </w:rPr>
      </w:pPr>
      <w:r w:rsidRPr="008F1A23">
        <w:rPr>
          <w:noProof/>
          <w:sz w:val="28"/>
          <w:szCs w:val="28"/>
        </w:rPr>
        <w:drawing>
          <wp:inline distT="0" distB="0" distL="0" distR="0" wp14:anchorId="0803067E" wp14:editId="771CC2A6">
            <wp:extent cx="4864100" cy="2565400"/>
            <wp:effectExtent l="0" t="0" r="12700" b="0"/>
            <wp:docPr id="3" name="Bild 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4100" cy="2565400"/>
                    </a:xfrm>
                    <a:prstGeom prst="rect">
                      <a:avLst/>
                    </a:prstGeom>
                    <a:noFill/>
                    <a:ln>
                      <a:noFill/>
                    </a:ln>
                  </pic:spPr>
                </pic:pic>
              </a:graphicData>
            </a:graphic>
          </wp:inline>
        </w:drawing>
      </w:r>
    </w:p>
    <w:p w:rsidR="00D97E1E" w:rsidRPr="008F1A23" w:rsidRDefault="00D97E1E" w:rsidP="00D97E1E">
      <w:pPr>
        <w:autoSpaceDE w:val="0"/>
        <w:autoSpaceDN w:val="0"/>
        <w:adjustRightInd w:val="0"/>
        <w:spacing w:after="240"/>
        <w:rPr>
          <w:sz w:val="20"/>
          <w:szCs w:val="20"/>
        </w:rPr>
      </w:pPr>
      <w:r w:rsidRPr="003B6AE5">
        <w:rPr>
          <w:sz w:val="20"/>
          <w:szCs w:val="20"/>
          <w:lang w:val="en-US"/>
        </w:rPr>
        <w:t xml:space="preserve">Fisher, R. Genetics of Gestational Trophoblastic Disease. </w:t>
      </w:r>
      <w:r w:rsidRPr="008F1A23">
        <w:rPr>
          <w:sz w:val="20"/>
          <w:szCs w:val="20"/>
        </w:rPr>
        <w:t>ISSTD World Congr XVII, 2013</w:t>
      </w:r>
    </w:p>
    <w:p w:rsidR="00D97E1E" w:rsidRPr="00D97E1E" w:rsidRDefault="00D97E1E" w:rsidP="00D97E1E">
      <w:pPr>
        <w:autoSpaceDE w:val="0"/>
        <w:autoSpaceDN w:val="0"/>
        <w:adjustRightInd w:val="0"/>
        <w:spacing w:after="240"/>
        <w:rPr>
          <w:szCs w:val="28"/>
        </w:rPr>
      </w:pPr>
      <w:r w:rsidRPr="00D97E1E">
        <w:rPr>
          <w:iCs/>
          <w:szCs w:val="28"/>
        </w:rPr>
        <w:t>Den kompletta molan är genetiskt diploid, men består enbart av paternella kromosomer. Detta medför avsaknad av foster och en ökad tillväxt av placenta, som är omvandlad med hydropa chorionvilli. Makroskopiskt kan multipla blåsbildningar ses. Vid diagnostiska svårigheter kan man komplettera med immunhistokemi för p57, som är ett protein som enbart uttrycks i maternellt genom, och således utfaller negativt i en komplett mola.</w:t>
      </w:r>
    </w:p>
    <w:p w:rsidR="00D97E1E" w:rsidRPr="008F1A23" w:rsidRDefault="00D97E1E" w:rsidP="00D97E1E">
      <w:pPr>
        <w:pStyle w:val="Liststycke"/>
        <w:widowControl w:val="0"/>
        <w:numPr>
          <w:ilvl w:val="0"/>
          <w:numId w:val="2"/>
        </w:numPr>
        <w:autoSpaceDE w:val="0"/>
        <w:autoSpaceDN w:val="0"/>
        <w:adjustRightInd w:val="0"/>
        <w:spacing w:after="240"/>
        <w:rPr>
          <w:rFonts w:ascii="Times New Roman" w:hAnsi="Times New Roman" w:cs="Times New Roman"/>
          <w:b/>
          <w:bCs/>
          <w:sz w:val="28"/>
          <w:szCs w:val="28"/>
        </w:rPr>
      </w:pPr>
      <w:r w:rsidRPr="00D97E1E">
        <w:rPr>
          <w:rFonts w:ascii="Times New Roman" w:hAnsi="Times New Roman" w:cs="Times New Roman"/>
          <w:b/>
          <w:bCs/>
          <w:szCs w:val="28"/>
        </w:rPr>
        <w:t>Partiell mola</w:t>
      </w:r>
    </w:p>
    <w:p w:rsidR="00D97E1E" w:rsidRPr="008F1A23" w:rsidRDefault="00D97E1E" w:rsidP="00D97E1E">
      <w:pPr>
        <w:autoSpaceDE w:val="0"/>
        <w:autoSpaceDN w:val="0"/>
        <w:adjustRightInd w:val="0"/>
        <w:rPr>
          <w:sz w:val="28"/>
          <w:szCs w:val="28"/>
        </w:rPr>
      </w:pPr>
      <w:bookmarkStart w:id="1" w:name="_GoBack"/>
      <w:bookmarkEnd w:id="1"/>
      <w:r w:rsidRPr="008F1A23">
        <w:rPr>
          <w:noProof/>
          <w:sz w:val="28"/>
          <w:szCs w:val="28"/>
        </w:rPr>
        <w:lastRenderedPageBreak/>
        <w:drawing>
          <wp:inline distT="0" distB="0" distL="0" distR="0" wp14:anchorId="256440F5" wp14:editId="121CCB27">
            <wp:extent cx="4851400" cy="2451100"/>
            <wp:effectExtent l="0" t="0" r="0" b="12700"/>
            <wp:docPr id="4" name="Bild 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1400" cy="2451100"/>
                    </a:xfrm>
                    <a:prstGeom prst="rect">
                      <a:avLst/>
                    </a:prstGeom>
                    <a:noFill/>
                    <a:ln>
                      <a:noFill/>
                    </a:ln>
                  </pic:spPr>
                </pic:pic>
              </a:graphicData>
            </a:graphic>
          </wp:inline>
        </w:drawing>
      </w:r>
    </w:p>
    <w:p w:rsidR="00D97E1E" w:rsidRPr="008F1A23" w:rsidRDefault="00D97E1E" w:rsidP="00D97E1E">
      <w:pPr>
        <w:autoSpaceDE w:val="0"/>
        <w:autoSpaceDN w:val="0"/>
        <w:adjustRightInd w:val="0"/>
        <w:spacing w:after="240"/>
        <w:rPr>
          <w:sz w:val="20"/>
          <w:szCs w:val="20"/>
        </w:rPr>
      </w:pPr>
      <w:r w:rsidRPr="003B6AE5">
        <w:rPr>
          <w:sz w:val="20"/>
          <w:szCs w:val="20"/>
          <w:lang w:val="en-US"/>
        </w:rPr>
        <w:t xml:space="preserve">Fisher, R. Genetics of Gestational Trophoblastic Disease. </w:t>
      </w:r>
      <w:r w:rsidRPr="008F1A23">
        <w:rPr>
          <w:sz w:val="20"/>
          <w:szCs w:val="20"/>
        </w:rPr>
        <w:t>ISSTD World Congr XVII, 2013</w:t>
      </w:r>
    </w:p>
    <w:p w:rsidR="00D97E1E" w:rsidRPr="00D97E1E" w:rsidRDefault="00D97E1E" w:rsidP="00D97E1E">
      <w:pPr>
        <w:autoSpaceDE w:val="0"/>
        <w:autoSpaceDN w:val="0"/>
        <w:adjustRightInd w:val="0"/>
        <w:spacing w:after="240"/>
        <w:rPr>
          <w:szCs w:val="28"/>
        </w:rPr>
      </w:pPr>
      <w:r w:rsidRPr="00D97E1E">
        <w:rPr>
          <w:szCs w:val="28"/>
        </w:rPr>
        <w:t>Den partiella molan är genetiskt triploid, med ett överskott av paternellt genom. Placenta kan ha områden med normala chorionvilli omväxlande med områden med hydropt uppdrivna villi. Fostervävnad finns. Makroskopiskt är blåsbildningen mindre uttalad och kan vara svår att se. Immunhistokemi för p57 utfaller positiv.</w:t>
      </w:r>
    </w:p>
    <w:p w:rsidR="00D97E1E" w:rsidRPr="008F1A23" w:rsidRDefault="00D97E1E" w:rsidP="00D97E1E">
      <w:pPr>
        <w:autoSpaceDE w:val="0"/>
        <w:autoSpaceDN w:val="0"/>
        <w:adjustRightInd w:val="0"/>
        <w:spacing w:after="240"/>
        <w:rPr>
          <w:sz w:val="28"/>
          <w:szCs w:val="28"/>
        </w:rPr>
      </w:pPr>
    </w:p>
    <w:tbl>
      <w:tblPr>
        <w:tblStyle w:val="Tabellrutnt"/>
        <w:tblW w:w="0" w:type="auto"/>
        <w:tblLook w:val="04A0" w:firstRow="1" w:lastRow="0" w:firstColumn="1" w:lastColumn="0" w:noHBand="0" w:noVBand="1"/>
      </w:tblPr>
      <w:tblGrid>
        <w:gridCol w:w="3182"/>
        <w:gridCol w:w="3182"/>
        <w:gridCol w:w="3182"/>
      </w:tblGrid>
      <w:tr w:rsidR="00D97E1E" w:rsidRPr="008F1A23" w:rsidTr="008542D7">
        <w:tc>
          <w:tcPr>
            <w:tcW w:w="3182" w:type="dxa"/>
          </w:tcPr>
          <w:p w:rsidR="00D97E1E" w:rsidRPr="00D97E1E" w:rsidRDefault="00D97E1E" w:rsidP="008542D7">
            <w:pPr>
              <w:autoSpaceDE w:val="0"/>
              <w:autoSpaceDN w:val="0"/>
              <w:adjustRightInd w:val="0"/>
              <w:spacing w:after="240"/>
              <w:rPr>
                <w:b/>
                <w:bCs/>
                <w:szCs w:val="28"/>
              </w:rPr>
            </w:pPr>
            <w:r w:rsidRPr="00D97E1E">
              <w:rPr>
                <w:b/>
                <w:bCs/>
                <w:szCs w:val="28"/>
              </w:rPr>
              <w:t>Komplett mola</w:t>
            </w:r>
          </w:p>
        </w:tc>
        <w:tc>
          <w:tcPr>
            <w:tcW w:w="3182" w:type="dxa"/>
          </w:tcPr>
          <w:p w:rsidR="00D97E1E" w:rsidRPr="00D97E1E" w:rsidRDefault="00D97E1E" w:rsidP="008542D7">
            <w:pPr>
              <w:autoSpaceDE w:val="0"/>
              <w:autoSpaceDN w:val="0"/>
              <w:adjustRightInd w:val="0"/>
              <w:spacing w:after="240"/>
              <w:rPr>
                <w:b/>
                <w:bCs/>
                <w:szCs w:val="28"/>
              </w:rPr>
            </w:pPr>
            <w:r w:rsidRPr="00D97E1E">
              <w:rPr>
                <w:b/>
                <w:bCs/>
                <w:szCs w:val="28"/>
              </w:rPr>
              <w:t>Partiell mola</w:t>
            </w:r>
          </w:p>
        </w:tc>
        <w:tc>
          <w:tcPr>
            <w:tcW w:w="3182" w:type="dxa"/>
          </w:tcPr>
          <w:p w:rsidR="00D97E1E" w:rsidRPr="00D97E1E" w:rsidRDefault="00D97E1E" w:rsidP="008542D7">
            <w:pPr>
              <w:autoSpaceDE w:val="0"/>
              <w:autoSpaceDN w:val="0"/>
              <w:adjustRightInd w:val="0"/>
              <w:spacing w:after="240"/>
              <w:rPr>
                <w:b/>
                <w:bCs/>
                <w:szCs w:val="28"/>
              </w:rPr>
            </w:pPr>
            <w:r w:rsidRPr="00D97E1E">
              <w:rPr>
                <w:b/>
                <w:bCs/>
                <w:szCs w:val="28"/>
              </w:rPr>
              <w:t>Missed abortion</w:t>
            </w:r>
          </w:p>
        </w:tc>
      </w:tr>
      <w:tr w:rsidR="00D97E1E" w:rsidRPr="008F1A23" w:rsidTr="008542D7">
        <w:tc>
          <w:tcPr>
            <w:tcW w:w="3182" w:type="dxa"/>
          </w:tcPr>
          <w:p w:rsidR="00D97E1E" w:rsidRPr="00D97E1E" w:rsidRDefault="00D97E1E" w:rsidP="008542D7">
            <w:pPr>
              <w:autoSpaceDE w:val="0"/>
              <w:autoSpaceDN w:val="0"/>
              <w:adjustRightInd w:val="0"/>
              <w:spacing w:after="240"/>
              <w:rPr>
                <w:bCs/>
                <w:szCs w:val="28"/>
              </w:rPr>
            </w:pPr>
            <w:r w:rsidRPr="00D97E1E">
              <w:rPr>
                <w:bCs/>
                <w:szCs w:val="28"/>
              </w:rPr>
              <w:t>Diploid</w:t>
            </w:r>
          </w:p>
        </w:tc>
        <w:tc>
          <w:tcPr>
            <w:tcW w:w="3182" w:type="dxa"/>
          </w:tcPr>
          <w:p w:rsidR="00D97E1E" w:rsidRPr="00D97E1E" w:rsidRDefault="00D97E1E" w:rsidP="008542D7">
            <w:pPr>
              <w:autoSpaceDE w:val="0"/>
              <w:autoSpaceDN w:val="0"/>
              <w:adjustRightInd w:val="0"/>
              <w:spacing w:after="240"/>
              <w:rPr>
                <w:b/>
                <w:bCs/>
                <w:szCs w:val="28"/>
              </w:rPr>
            </w:pPr>
            <w:r w:rsidRPr="00D97E1E">
              <w:rPr>
                <w:b/>
                <w:bCs/>
                <w:szCs w:val="28"/>
              </w:rPr>
              <w:t>Triploid</w:t>
            </w:r>
          </w:p>
        </w:tc>
        <w:tc>
          <w:tcPr>
            <w:tcW w:w="3182" w:type="dxa"/>
          </w:tcPr>
          <w:p w:rsidR="00D97E1E" w:rsidRPr="00D97E1E" w:rsidRDefault="00D97E1E" w:rsidP="008542D7">
            <w:pPr>
              <w:autoSpaceDE w:val="0"/>
              <w:autoSpaceDN w:val="0"/>
              <w:adjustRightInd w:val="0"/>
              <w:spacing w:after="240"/>
              <w:rPr>
                <w:bCs/>
                <w:szCs w:val="28"/>
              </w:rPr>
            </w:pPr>
            <w:r w:rsidRPr="00D97E1E">
              <w:rPr>
                <w:bCs/>
                <w:szCs w:val="28"/>
              </w:rPr>
              <w:t xml:space="preserve">Oftast diploid </w:t>
            </w:r>
          </w:p>
        </w:tc>
      </w:tr>
      <w:tr w:rsidR="00D97E1E" w:rsidRPr="008F1A23" w:rsidTr="008542D7">
        <w:tc>
          <w:tcPr>
            <w:tcW w:w="3182" w:type="dxa"/>
          </w:tcPr>
          <w:p w:rsidR="00D97E1E" w:rsidRPr="00D97E1E" w:rsidRDefault="00D97E1E" w:rsidP="008542D7">
            <w:pPr>
              <w:autoSpaceDE w:val="0"/>
              <w:autoSpaceDN w:val="0"/>
              <w:adjustRightInd w:val="0"/>
              <w:spacing w:after="240"/>
              <w:rPr>
                <w:b/>
                <w:bCs/>
                <w:szCs w:val="28"/>
              </w:rPr>
            </w:pPr>
            <w:r w:rsidRPr="00D97E1E">
              <w:rPr>
                <w:b/>
                <w:bCs/>
                <w:szCs w:val="28"/>
              </w:rPr>
              <w:t>p57-negativitet</w:t>
            </w:r>
          </w:p>
        </w:tc>
        <w:tc>
          <w:tcPr>
            <w:tcW w:w="3182" w:type="dxa"/>
          </w:tcPr>
          <w:p w:rsidR="00D97E1E" w:rsidRPr="00D97E1E" w:rsidRDefault="00D97E1E" w:rsidP="008542D7">
            <w:pPr>
              <w:autoSpaceDE w:val="0"/>
              <w:autoSpaceDN w:val="0"/>
              <w:adjustRightInd w:val="0"/>
              <w:spacing w:after="240"/>
              <w:rPr>
                <w:bCs/>
                <w:szCs w:val="28"/>
              </w:rPr>
            </w:pPr>
            <w:r w:rsidRPr="00D97E1E">
              <w:rPr>
                <w:bCs/>
                <w:szCs w:val="28"/>
              </w:rPr>
              <w:t>p57-positivitet</w:t>
            </w:r>
          </w:p>
        </w:tc>
        <w:tc>
          <w:tcPr>
            <w:tcW w:w="3182" w:type="dxa"/>
          </w:tcPr>
          <w:p w:rsidR="00D97E1E" w:rsidRPr="00D97E1E" w:rsidRDefault="00D97E1E" w:rsidP="008542D7">
            <w:pPr>
              <w:autoSpaceDE w:val="0"/>
              <w:autoSpaceDN w:val="0"/>
              <w:adjustRightInd w:val="0"/>
              <w:spacing w:after="240"/>
              <w:rPr>
                <w:b/>
                <w:bCs/>
                <w:szCs w:val="28"/>
              </w:rPr>
            </w:pPr>
            <w:r w:rsidRPr="00D97E1E">
              <w:rPr>
                <w:bCs/>
                <w:szCs w:val="28"/>
              </w:rPr>
              <w:t>p57-positivitet</w:t>
            </w:r>
          </w:p>
        </w:tc>
      </w:tr>
      <w:tr w:rsidR="00D97E1E" w:rsidRPr="008F1A23" w:rsidTr="008542D7">
        <w:tc>
          <w:tcPr>
            <w:tcW w:w="3182" w:type="dxa"/>
          </w:tcPr>
          <w:p w:rsidR="00D97E1E" w:rsidRPr="00D97E1E" w:rsidRDefault="00D97E1E" w:rsidP="008542D7">
            <w:pPr>
              <w:autoSpaceDE w:val="0"/>
              <w:autoSpaceDN w:val="0"/>
              <w:adjustRightInd w:val="0"/>
              <w:spacing w:after="240"/>
              <w:rPr>
                <w:b/>
                <w:bCs/>
                <w:szCs w:val="28"/>
              </w:rPr>
            </w:pPr>
            <w:r w:rsidRPr="00D97E1E">
              <w:rPr>
                <w:b/>
                <w:bCs/>
                <w:szCs w:val="28"/>
              </w:rPr>
              <w:t>Ofostrig</w:t>
            </w:r>
          </w:p>
        </w:tc>
        <w:tc>
          <w:tcPr>
            <w:tcW w:w="3182" w:type="dxa"/>
          </w:tcPr>
          <w:p w:rsidR="00D97E1E" w:rsidRPr="00D97E1E" w:rsidRDefault="00D97E1E" w:rsidP="008542D7">
            <w:pPr>
              <w:autoSpaceDE w:val="0"/>
              <w:autoSpaceDN w:val="0"/>
              <w:adjustRightInd w:val="0"/>
              <w:spacing w:after="240"/>
              <w:rPr>
                <w:bCs/>
                <w:szCs w:val="28"/>
              </w:rPr>
            </w:pPr>
            <w:r w:rsidRPr="00D97E1E">
              <w:rPr>
                <w:bCs/>
                <w:szCs w:val="28"/>
              </w:rPr>
              <w:t>Fostrig</w:t>
            </w:r>
          </w:p>
        </w:tc>
        <w:tc>
          <w:tcPr>
            <w:tcW w:w="3182" w:type="dxa"/>
          </w:tcPr>
          <w:p w:rsidR="00D97E1E" w:rsidRPr="00D97E1E" w:rsidRDefault="00D97E1E" w:rsidP="008542D7">
            <w:pPr>
              <w:autoSpaceDE w:val="0"/>
              <w:autoSpaceDN w:val="0"/>
              <w:adjustRightInd w:val="0"/>
              <w:spacing w:after="240"/>
              <w:rPr>
                <w:bCs/>
                <w:szCs w:val="28"/>
              </w:rPr>
            </w:pPr>
            <w:r w:rsidRPr="00D97E1E">
              <w:rPr>
                <w:bCs/>
                <w:szCs w:val="28"/>
              </w:rPr>
              <w:t>Oftast fostrig</w:t>
            </w:r>
          </w:p>
        </w:tc>
      </w:tr>
    </w:tbl>
    <w:p w:rsidR="00D97E1E" w:rsidRPr="008F1A23" w:rsidRDefault="00D97E1E" w:rsidP="00D97E1E">
      <w:pPr>
        <w:autoSpaceDE w:val="0"/>
        <w:autoSpaceDN w:val="0"/>
        <w:adjustRightInd w:val="0"/>
        <w:spacing w:after="240"/>
        <w:rPr>
          <w:b/>
          <w:bCs/>
          <w:sz w:val="28"/>
          <w:szCs w:val="28"/>
        </w:rPr>
      </w:pPr>
    </w:p>
    <w:p w:rsidR="00D97E1E" w:rsidRPr="00D97E1E" w:rsidRDefault="00D97E1E" w:rsidP="00D97E1E">
      <w:pPr>
        <w:autoSpaceDE w:val="0"/>
        <w:autoSpaceDN w:val="0"/>
        <w:adjustRightInd w:val="0"/>
        <w:spacing w:after="240"/>
        <w:rPr>
          <w:b/>
          <w:bCs/>
          <w:szCs w:val="28"/>
        </w:rPr>
      </w:pPr>
      <w:r w:rsidRPr="00D97E1E">
        <w:rPr>
          <w:b/>
          <w:bCs/>
          <w:szCs w:val="28"/>
        </w:rPr>
        <w:t xml:space="preserve">Symptom </w:t>
      </w:r>
    </w:p>
    <w:p w:rsidR="00D97E1E" w:rsidRPr="00D97E1E" w:rsidRDefault="00D97E1E" w:rsidP="00D97E1E">
      <w:pPr>
        <w:autoSpaceDE w:val="0"/>
        <w:autoSpaceDN w:val="0"/>
        <w:adjustRightInd w:val="0"/>
        <w:spacing w:after="240"/>
        <w:rPr>
          <w:szCs w:val="28"/>
        </w:rPr>
      </w:pPr>
      <w:r w:rsidRPr="00D97E1E">
        <w:rPr>
          <w:bCs/>
          <w:szCs w:val="28"/>
        </w:rPr>
        <w:t xml:space="preserve">Tidigare förknippades ofta en molagraviditet med dramatiska symptom och fynd såsom riklig blödning, kraftigt illamående, stor uterus för graviditetslängden, theca-luteincystor, thyreotoxikos och tidig debut av pre-eklampsi. Numera är symptomen betydligt mildare, sannolikt beroende på tidigare diagnos. Det vanligaste symptomet vid mola idag är </w:t>
      </w:r>
      <w:r w:rsidRPr="00D97E1E">
        <w:rPr>
          <w:b/>
          <w:bCs/>
          <w:szCs w:val="28"/>
        </w:rPr>
        <w:t>vaginal blödning</w:t>
      </w:r>
      <w:r w:rsidRPr="00D97E1E">
        <w:rPr>
          <w:bCs/>
          <w:szCs w:val="28"/>
        </w:rPr>
        <w:t xml:space="preserve">.  Många patienter är helt </w:t>
      </w:r>
      <w:r w:rsidRPr="00D97E1E">
        <w:rPr>
          <w:b/>
          <w:bCs/>
          <w:szCs w:val="28"/>
        </w:rPr>
        <w:t>asymptomatiska</w:t>
      </w:r>
      <w:r w:rsidRPr="00D97E1E">
        <w:rPr>
          <w:bCs/>
          <w:szCs w:val="28"/>
        </w:rPr>
        <w:t xml:space="preserve"> vid diagnos. </w:t>
      </w:r>
    </w:p>
    <w:p w:rsidR="00D97E1E" w:rsidRPr="00D97E1E" w:rsidRDefault="00D97E1E" w:rsidP="00D97E1E">
      <w:pPr>
        <w:autoSpaceDE w:val="0"/>
        <w:autoSpaceDN w:val="0"/>
        <w:adjustRightInd w:val="0"/>
        <w:spacing w:after="240"/>
        <w:rPr>
          <w:b/>
          <w:bCs/>
          <w:szCs w:val="28"/>
        </w:rPr>
      </w:pPr>
    </w:p>
    <w:p w:rsidR="00D97E1E" w:rsidRPr="00D97E1E" w:rsidRDefault="00D97E1E" w:rsidP="00D97E1E">
      <w:pPr>
        <w:autoSpaceDE w:val="0"/>
        <w:autoSpaceDN w:val="0"/>
        <w:adjustRightInd w:val="0"/>
        <w:spacing w:after="240"/>
        <w:rPr>
          <w:szCs w:val="28"/>
        </w:rPr>
      </w:pPr>
      <w:r w:rsidRPr="00D97E1E">
        <w:rPr>
          <w:b/>
          <w:bCs/>
          <w:szCs w:val="28"/>
        </w:rPr>
        <w:t>Utredning</w:t>
      </w:r>
    </w:p>
    <w:p w:rsidR="00D97E1E" w:rsidRPr="00D97E1E" w:rsidRDefault="00D97E1E" w:rsidP="00D97E1E">
      <w:pPr>
        <w:tabs>
          <w:tab w:val="left" w:pos="220"/>
          <w:tab w:val="left" w:pos="720"/>
        </w:tabs>
        <w:autoSpaceDE w:val="0"/>
        <w:autoSpaceDN w:val="0"/>
        <w:adjustRightInd w:val="0"/>
        <w:spacing w:after="240"/>
        <w:ind w:left="2600" w:hanging="2600"/>
        <w:rPr>
          <w:szCs w:val="28"/>
        </w:rPr>
      </w:pPr>
      <w:r w:rsidRPr="00D97E1E">
        <w:rPr>
          <w:szCs w:val="28"/>
        </w:rPr>
        <w:lastRenderedPageBreak/>
        <w:t xml:space="preserve">Ultraljud </w:t>
      </w:r>
      <w:r w:rsidRPr="00D97E1E">
        <w:rPr>
          <w:szCs w:val="28"/>
        </w:rPr>
        <w:tab/>
      </w:r>
      <w:r w:rsidRPr="00D97E1E">
        <w:rPr>
          <w:szCs w:val="28"/>
        </w:rPr>
        <w:tab/>
        <w:t xml:space="preserve">”snöstormsmönster” samt avsaknad av foster vid komplett mola. Vid partiell mola svår gränsdragning mot missed abortion. </w:t>
      </w:r>
    </w:p>
    <w:p w:rsidR="00D97E1E" w:rsidRPr="00D97E1E" w:rsidRDefault="00D97E1E" w:rsidP="00D97E1E">
      <w:pPr>
        <w:tabs>
          <w:tab w:val="left" w:pos="220"/>
          <w:tab w:val="left" w:pos="720"/>
        </w:tabs>
        <w:autoSpaceDE w:val="0"/>
        <w:autoSpaceDN w:val="0"/>
        <w:adjustRightInd w:val="0"/>
        <w:spacing w:after="240"/>
        <w:rPr>
          <w:szCs w:val="28"/>
        </w:rPr>
      </w:pPr>
      <w:r w:rsidRPr="00D97E1E">
        <w:rPr>
          <w:szCs w:val="28"/>
        </w:rPr>
        <w:t>Serum-hCG</w:t>
      </w:r>
      <w:r w:rsidRPr="00D97E1E">
        <w:rPr>
          <w:szCs w:val="28"/>
        </w:rPr>
        <w:tab/>
        <w:t>utgångsvärde</w:t>
      </w:r>
    </w:p>
    <w:p w:rsidR="00D97E1E" w:rsidRPr="00D97E1E" w:rsidRDefault="00D97E1E" w:rsidP="00D97E1E">
      <w:pPr>
        <w:tabs>
          <w:tab w:val="left" w:pos="220"/>
          <w:tab w:val="left" w:pos="720"/>
        </w:tabs>
        <w:autoSpaceDE w:val="0"/>
        <w:autoSpaceDN w:val="0"/>
        <w:adjustRightInd w:val="0"/>
        <w:spacing w:after="240"/>
        <w:ind w:left="2600" w:hanging="2600"/>
        <w:rPr>
          <w:szCs w:val="28"/>
        </w:rPr>
      </w:pPr>
      <w:r w:rsidRPr="00D97E1E">
        <w:rPr>
          <w:szCs w:val="28"/>
        </w:rPr>
        <w:t xml:space="preserve">Röntgen pulm </w:t>
      </w:r>
      <w:r w:rsidRPr="00D97E1E">
        <w:rPr>
          <w:szCs w:val="28"/>
        </w:rPr>
        <w:tab/>
        <w:t>kan övervägas vid kraftigt förhöjda hCG-nivåer och kliniskt stark misstanke om molagraviditet</w:t>
      </w:r>
    </w:p>
    <w:p w:rsidR="00D97E1E" w:rsidRDefault="00D97E1E" w:rsidP="00D97E1E">
      <w:pPr>
        <w:autoSpaceDE w:val="0"/>
        <w:autoSpaceDN w:val="0"/>
        <w:adjustRightInd w:val="0"/>
        <w:spacing w:after="240"/>
        <w:rPr>
          <w:b/>
          <w:bCs/>
          <w:szCs w:val="28"/>
        </w:rPr>
      </w:pPr>
    </w:p>
    <w:p w:rsidR="00D97E1E" w:rsidRPr="00D97E1E" w:rsidRDefault="00D97E1E" w:rsidP="00D97E1E">
      <w:pPr>
        <w:autoSpaceDE w:val="0"/>
        <w:autoSpaceDN w:val="0"/>
        <w:adjustRightInd w:val="0"/>
        <w:spacing w:after="240"/>
        <w:rPr>
          <w:b/>
          <w:bCs/>
          <w:szCs w:val="28"/>
        </w:rPr>
      </w:pPr>
      <w:r w:rsidRPr="00D97E1E">
        <w:rPr>
          <w:b/>
          <w:bCs/>
          <w:szCs w:val="28"/>
        </w:rPr>
        <w:t>Handläggning av molagraviditet</w:t>
      </w:r>
    </w:p>
    <w:p w:rsidR="00D97E1E" w:rsidRPr="00D97E1E" w:rsidRDefault="00D97E1E" w:rsidP="00D97E1E">
      <w:pPr>
        <w:pStyle w:val="Liststycke"/>
        <w:widowControl w:val="0"/>
        <w:numPr>
          <w:ilvl w:val="0"/>
          <w:numId w:val="1"/>
        </w:numPr>
        <w:autoSpaceDE w:val="0"/>
        <w:autoSpaceDN w:val="0"/>
        <w:adjustRightInd w:val="0"/>
        <w:spacing w:after="240"/>
        <w:rPr>
          <w:rFonts w:ascii="Times New Roman" w:hAnsi="Times New Roman" w:cs="Times New Roman"/>
          <w:bCs/>
          <w:szCs w:val="28"/>
        </w:rPr>
      </w:pPr>
      <w:r w:rsidRPr="00D97E1E">
        <w:rPr>
          <w:rFonts w:ascii="Times New Roman" w:hAnsi="Times New Roman" w:cs="Times New Roman"/>
          <w:bCs/>
          <w:szCs w:val="28"/>
        </w:rPr>
        <w:t>Utrymning med vacuumexaeres och efterföljande ultraljudskontroll. Vid behov induceras cervixmognad med prostaglandin. Vid partiell mola med fosterstorlek &gt;12 veckor görs ett tvåstegsavbrytande enligt detta PM, dock med efterföljande vacuumexaeres av placenta alternativt rester.</w:t>
      </w:r>
    </w:p>
    <w:p w:rsidR="00D97E1E" w:rsidRPr="00D97E1E" w:rsidRDefault="00D97E1E" w:rsidP="00D97E1E">
      <w:pPr>
        <w:pStyle w:val="Liststycke"/>
        <w:widowControl w:val="0"/>
        <w:autoSpaceDE w:val="0"/>
        <w:autoSpaceDN w:val="0"/>
        <w:adjustRightInd w:val="0"/>
        <w:spacing w:after="240"/>
        <w:rPr>
          <w:rFonts w:ascii="Times New Roman" w:hAnsi="Times New Roman" w:cs="Times New Roman"/>
          <w:bCs/>
          <w:szCs w:val="28"/>
        </w:rPr>
      </w:pPr>
    </w:p>
    <w:p w:rsidR="00D97E1E" w:rsidRPr="00D97E1E" w:rsidRDefault="00D97E1E" w:rsidP="00D97E1E">
      <w:pPr>
        <w:pStyle w:val="Liststycke"/>
        <w:widowControl w:val="0"/>
        <w:numPr>
          <w:ilvl w:val="0"/>
          <w:numId w:val="1"/>
        </w:numPr>
        <w:autoSpaceDE w:val="0"/>
        <w:autoSpaceDN w:val="0"/>
        <w:adjustRightInd w:val="0"/>
        <w:spacing w:after="240"/>
        <w:rPr>
          <w:rFonts w:ascii="Times New Roman" w:hAnsi="Times New Roman" w:cs="Times New Roman"/>
          <w:bCs/>
          <w:szCs w:val="28"/>
        </w:rPr>
      </w:pPr>
      <w:r w:rsidRPr="00D97E1E">
        <w:rPr>
          <w:rFonts w:ascii="Times New Roman" w:hAnsi="Times New Roman" w:cs="Times New Roman"/>
          <w:bCs/>
          <w:szCs w:val="28"/>
        </w:rPr>
        <w:t>Beredskap för blodtransfusion vb</w:t>
      </w:r>
    </w:p>
    <w:p w:rsidR="00D97E1E" w:rsidRPr="00D97E1E" w:rsidRDefault="00D97E1E" w:rsidP="00D97E1E">
      <w:pPr>
        <w:pStyle w:val="Liststycke"/>
        <w:widowControl w:val="0"/>
        <w:autoSpaceDE w:val="0"/>
        <w:autoSpaceDN w:val="0"/>
        <w:adjustRightInd w:val="0"/>
        <w:spacing w:after="240"/>
        <w:rPr>
          <w:rFonts w:ascii="Times New Roman" w:hAnsi="Times New Roman" w:cs="Times New Roman"/>
          <w:bCs/>
          <w:szCs w:val="28"/>
        </w:rPr>
      </w:pPr>
    </w:p>
    <w:p w:rsidR="00D97E1E" w:rsidRPr="00D97E1E" w:rsidRDefault="00D97E1E" w:rsidP="00D97E1E">
      <w:pPr>
        <w:pStyle w:val="Liststycke"/>
        <w:widowControl w:val="0"/>
        <w:numPr>
          <w:ilvl w:val="0"/>
          <w:numId w:val="1"/>
        </w:numPr>
        <w:autoSpaceDE w:val="0"/>
        <w:autoSpaceDN w:val="0"/>
        <w:adjustRightInd w:val="0"/>
        <w:spacing w:after="240"/>
        <w:rPr>
          <w:rFonts w:ascii="Times New Roman" w:hAnsi="Times New Roman" w:cs="Times New Roman"/>
          <w:bCs/>
          <w:szCs w:val="28"/>
        </w:rPr>
      </w:pPr>
      <w:r w:rsidRPr="00D97E1E">
        <w:rPr>
          <w:rFonts w:ascii="Times New Roman" w:hAnsi="Times New Roman" w:cs="Times New Roman"/>
          <w:bCs/>
          <w:szCs w:val="28"/>
        </w:rPr>
        <w:t>Preparat till PAD med frågeställning subtyp av mola</w:t>
      </w:r>
    </w:p>
    <w:p w:rsidR="00D97E1E" w:rsidRPr="00D97E1E" w:rsidRDefault="00D97E1E" w:rsidP="00D97E1E">
      <w:pPr>
        <w:pStyle w:val="Liststycke"/>
        <w:widowControl w:val="0"/>
        <w:autoSpaceDE w:val="0"/>
        <w:autoSpaceDN w:val="0"/>
        <w:adjustRightInd w:val="0"/>
        <w:spacing w:after="240"/>
        <w:rPr>
          <w:rFonts w:ascii="Times New Roman" w:hAnsi="Times New Roman" w:cs="Times New Roman"/>
          <w:bCs/>
          <w:szCs w:val="28"/>
        </w:rPr>
      </w:pPr>
    </w:p>
    <w:p w:rsidR="00D97E1E" w:rsidRPr="00D97E1E" w:rsidRDefault="00D97E1E" w:rsidP="00D97E1E">
      <w:pPr>
        <w:pStyle w:val="Liststycke"/>
        <w:widowControl w:val="0"/>
        <w:numPr>
          <w:ilvl w:val="0"/>
          <w:numId w:val="1"/>
        </w:numPr>
        <w:autoSpaceDE w:val="0"/>
        <w:autoSpaceDN w:val="0"/>
        <w:adjustRightInd w:val="0"/>
        <w:spacing w:after="240"/>
        <w:rPr>
          <w:rFonts w:ascii="Times New Roman" w:hAnsi="Times New Roman" w:cs="Times New Roman"/>
          <w:szCs w:val="28"/>
        </w:rPr>
      </w:pPr>
      <w:r w:rsidRPr="00D97E1E">
        <w:rPr>
          <w:rFonts w:ascii="Times New Roman" w:hAnsi="Times New Roman" w:cs="Times New Roman"/>
          <w:bCs/>
          <w:szCs w:val="28"/>
        </w:rPr>
        <w:t>I fall av theca-luteincystor exspektans. Dessa försvinner med sjunkande hCG-nivåer. Kan tappas på cystvätska vid symptomgivande storlek.</w:t>
      </w:r>
    </w:p>
    <w:p w:rsidR="00D97E1E" w:rsidRPr="00D97E1E" w:rsidRDefault="00D97E1E" w:rsidP="00D97E1E">
      <w:pPr>
        <w:autoSpaceDE w:val="0"/>
        <w:autoSpaceDN w:val="0"/>
        <w:adjustRightInd w:val="0"/>
        <w:spacing w:after="240"/>
        <w:rPr>
          <w:b/>
          <w:szCs w:val="28"/>
        </w:rPr>
      </w:pPr>
    </w:p>
    <w:p w:rsidR="00D97E1E" w:rsidRPr="00D97E1E" w:rsidRDefault="00D97E1E" w:rsidP="00D97E1E">
      <w:pPr>
        <w:autoSpaceDE w:val="0"/>
        <w:autoSpaceDN w:val="0"/>
        <w:adjustRightInd w:val="0"/>
        <w:spacing w:after="240"/>
        <w:rPr>
          <w:b/>
          <w:szCs w:val="28"/>
        </w:rPr>
      </w:pPr>
      <w:r w:rsidRPr="00D97E1E">
        <w:rPr>
          <w:b/>
          <w:szCs w:val="28"/>
        </w:rPr>
        <w:t>Uppföljning av molagraviditet</w:t>
      </w:r>
    </w:p>
    <w:p w:rsidR="00D97E1E" w:rsidRPr="00D97E1E" w:rsidRDefault="00D97E1E" w:rsidP="00D97E1E">
      <w:pPr>
        <w:pStyle w:val="Liststycke"/>
        <w:numPr>
          <w:ilvl w:val="0"/>
          <w:numId w:val="3"/>
        </w:numPr>
        <w:autoSpaceDE w:val="0"/>
        <w:autoSpaceDN w:val="0"/>
        <w:adjustRightInd w:val="0"/>
        <w:spacing w:after="240"/>
        <w:rPr>
          <w:b/>
          <w:szCs w:val="28"/>
        </w:rPr>
      </w:pPr>
      <w:r w:rsidRPr="00D97E1E">
        <w:rPr>
          <w:b/>
          <w:szCs w:val="28"/>
        </w:rPr>
        <w:t>Komplett mola</w:t>
      </w:r>
    </w:p>
    <w:p w:rsidR="00D97E1E" w:rsidRPr="00D97E1E" w:rsidRDefault="00D97E1E" w:rsidP="00D97E1E">
      <w:pPr>
        <w:autoSpaceDE w:val="0"/>
        <w:autoSpaceDN w:val="0"/>
        <w:adjustRightInd w:val="0"/>
        <w:spacing w:after="240"/>
        <w:rPr>
          <w:szCs w:val="28"/>
        </w:rPr>
      </w:pPr>
      <w:r w:rsidRPr="00D97E1E">
        <w:rPr>
          <w:szCs w:val="28"/>
        </w:rPr>
        <w:t xml:space="preserve">S-hCG varannan vecka tills negativt vid två tillfällen, därefter S-hCG varje månad tom 6 månader efter första negativa värde, då kontrollerna avslutas. Återbesök med information och gynekologisk undersökning efter 4v samt vid avslutande av hCG-kontroller. </w:t>
      </w:r>
    </w:p>
    <w:p w:rsidR="00D97E1E" w:rsidRPr="00D97E1E" w:rsidRDefault="00D97E1E" w:rsidP="00D97E1E">
      <w:pPr>
        <w:pStyle w:val="Liststycke"/>
        <w:numPr>
          <w:ilvl w:val="0"/>
          <w:numId w:val="3"/>
        </w:numPr>
        <w:autoSpaceDE w:val="0"/>
        <w:autoSpaceDN w:val="0"/>
        <w:adjustRightInd w:val="0"/>
        <w:spacing w:after="240"/>
        <w:rPr>
          <w:szCs w:val="28"/>
        </w:rPr>
      </w:pPr>
      <w:r w:rsidRPr="00D97E1E">
        <w:rPr>
          <w:b/>
          <w:szCs w:val="28"/>
        </w:rPr>
        <w:t>Partiell mola</w:t>
      </w:r>
    </w:p>
    <w:p w:rsidR="00D97E1E" w:rsidRPr="00D97E1E" w:rsidRDefault="00D97E1E" w:rsidP="00D97E1E">
      <w:pPr>
        <w:autoSpaceDE w:val="0"/>
        <w:autoSpaceDN w:val="0"/>
        <w:adjustRightInd w:val="0"/>
        <w:spacing w:after="240"/>
        <w:rPr>
          <w:szCs w:val="28"/>
        </w:rPr>
      </w:pPr>
      <w:r w:rsidRPr="00D97E1E">
        <w:rPr>
          <w:szCs w:val="28"/>
        </w:rPr>
        <w:t xml:space="preserve">S-hCG varannan vecka tills negativt vid två tillfällen, då kontrollerna avslutas. Återbesök med information och gynekologisk undersökning efter 4v samt vid avslutande av hCG-kontroller. </w:t>
      </w:r>
    </w:p>
    <w:p w:rsidR="00D97E1E" w:rsidRPr="00D97E1E" w:rsidRDefault="00D97E1E" w:rsidP="00D97E1E">
      <w:pPr>
        <w:autoSpaceDE w:val="0"/>
        <w:autoSpaceDN w:val="0"/>
        <w:adjustRightInd w:val="0"/>
        <w:spacing w:after="240"/>
        <w:rPr>
          <w:szCs w:val="28"/>
        </w:rPr>
      </w:pPr>
      <w:r w:rsidRPr="00D97E1E">
        <w:rPr>
          <w:szCs w:val="28"/>
        </w:rPr>
        <w:t xml:space="preserve">Antikonception rekommenderas under kontrollperioden. </w:t>
      </w:r>
    </w:p>
    <w:p w:rsidR="00D97E1E" w:rsidRPr="00D97E1E" w:rsidRDefault="00D97E1E" w:rsidP="00D97E1E">
      <w:pPr>
        <w:autoSpaceDE w:val="0"/>
        <w:autoSpaceDN w:val="0"/>
        <w:adjustRightInd w:val="0"/>
        <w:spacing w:after="240"/>
        <w:rPr>
          <w:szCs w:val="28"/>
        </w:rPr>
      </w:pPr>
      <w:r w:rsidRPr="00D97E1E">
        <w:rPr>
          <w:szCs w:val="28"/>
        </w:rPr>
        <w:t>Vid platå eller stigande värden kontrolleras beta-hCG varje vecka.</w:t>
      </w:r>
    </w:p>
    <w:p w:rsidR="00D97E1E" w:rsidRPr="00D97E1E" w:rsidRDefault="00D97E1E" w:rsidP="00D97E1E">
      <w:pPr>
        <w:autoSpaceDE w:val="0"/>
        <w:autoSpaceDN w:val="0"/>
        <w:adjustRightInd w:val="0"/>
        <w:spacing w:after="240"/>
        <w:rPr>
          <w:szCs w:val="28"/>
        </w:rPr>
      </w:pPr>
      <w:r w:rsidRPr="00D97E1E">
        <w:rPr>
          <w:szCs w:val="28"/>
        </w:rPr>
        <w:t>Ny graviditet tillåts omedelbart efter kontrollperioden.</w:t>
      </w:r>
    </w:p>
    <w:p w:rsidR="00D97E1E" w:rsidRPr="00D97E1E" w:rsidRDefault="00D97E1E" w:rsidP="00D97E1E">
      <w:pPr>
        <w:autoSpaceDE w:val="0"/>
        <w:autoSpaceDN w:val="0"/>
        <w:adjustRightInd w:val="0"/>
        <w:spacing w:after="240"/>
        <w:rPr>
          <w:szCs w:val="28"/>
        </w:rPr>
      </w:pPr>
      <w:r w:rsidRPr="00D97E1E">
        <w:rPr>
          <w:szCs w:val="28"/>
        </w:rPr>
        <w:t>Vid ny graviditet rekommenderas tidigt ultraljud för att utesluta ny molagraviditet och kontroll av hCG 6 v postpartum. Risken att utveckla en ny mola för den som tidigare haft en är ca 1 % och för den som haft 2 molor drygt 10 %. Efter 3 molor anses chansen för en normal graviditet vara liten.</w:t>
      </w:r>
    </w:p>
    <w:p w:rsidR="00D97E1E" w:rsidRPr="00D97E1E" w:rsidRDefault="00D97E1E" w:rsidP="00D97E1E">
      <w:pPr>
        <w:autoSpaceDE w:val="0"/>
        <w:autoSpaceDN w:val="0"/>
        <w:adjustRightInd w:val="0"/>
        <w:spacing w:after="240"/>
        <w:rPr>
          <w:b/>
          <w:szCs w:val="28"/>
        </w:rPr>
      </w:pPr>
      <w:r w:rsidRPr="00D97E1E">
        <w:rPr>
          <w:b/>
          <w:szCs w:val="28"/>
        </w:rPr>
        <w:t>Utveckling av gestationell trofoblastneoplasi, GTN</w:t>
      </w:r>
    </w:p>
    <w:p w:rsidR="00D97E1E" w:rsidRPr="00D97E1E" w:rsidRDefault="00D97E1E" w:rsidP="00D97E1E">
      <w:pPr>
        <w:autoSpaceDE w:val="0"/>
        <w:autoSpaceDN w:val="0"/>
        <w:adjustRightInd w:val="0"/>
        <w:spacing w:after="240"/>
        <w:rPr>
          <w:szCs w:val="28"/>
        </w:rPr>
      </w:pPr>
      <w:r w:rsidRPr="00D97E1E">
        <w:rPr>
          <w:szCs w:val="28"/>
        </w:rPr>
        <w:t xml:space="preserve">Risken för malign utveckling är betydligt högre vid en komplett mola än en partiell. Diagnosen baseras oftast på en utebliven hCG-regression och är en internationellt vedertagen kriteriediagnos. </w:t>
      </w:r>
    </w:p>
    <w:p w:rsidR="00D97E1E" w:rsidRPr="00D97E1E" w:rsidRDefault="00D97E1E" w:rsidP="00D97E1E">
      <w:pPr>
        <w:autoSpaceDE w:val="0"/>
        <w:autoSpaceDN w:val="0"/>
        <w:adjustRightInd w:val="0"/>
        <w:spacing w:after="240"/>
        <w:rPr>
          <w:szCs w:val="28"/>
        </w:rPr>
      </w:pPr>
      <w:r w:rsidRPr="00D97E1E">
        <w:rPr>
          <w:szCs w:val="28"/>
        </w:rPr>
        <w:t>Vid stigande eller avplanande hCG-värden, kontakt med gyntumörkonsult tel 08-51770414 eller remiss till gyn tumörkirurgiska mottagningen, Karolinska Universitetssjukhuset, Solna.</w:t>
      </w:r>
    </w:p>
    <w:p w:rsidR="00D97E1E" w:rsidRPr="00D97E1E" w:rsidRDefault="00D97E1E" w:rsidP="00D97E1E">
      <w:pPr>
        <w:autoSpaceDE w:val="0"/>
        <w:autoSpaceDN w:val="0"/>
        <w:adjustRightInd w:val="0"/>
        <w:spacing w:after="240"/>
        <w:rPr>
          <w:b/>
          <w:bCs/>
          <w:szCs w:val="28"/>
        </w:rPr>
      </w:pPr>
      <w:r w:rsidRPr="00D97E1E">
        <w:rPr>
          <w:b/>
          <w:bCs/>
          <w:szCs w:val="28"/>
        </w:rPr>
        <w:t>Terapi</w:t>
      </w:r>
    </w:p>
    <w:p w:rsidR="00D97E1E" w:rsidRPr="00D97E1E" w:rsidRDefault="00D97E1E" w:rsidP="00D97E1E">
      <w:pPr>
        <w:autoSpaceDE w:val="0"/>
        <w:autoSpaceDN w:val="0"/>
        <w:adjustRightInd w:val="0"/>
        <w:spacing w:after="240"/>
        <w:rPr>
          <w:bCs/>
          <w:szCs w:val="28"/>
        </w:rPr>
      </w:pPr>
      <w:r w:rsidRPr="00D97E1E">
        <w:rPr>
          <w:bCs/>
          <w:szCs w:val="28"/>
        </w:rPr>
        <w:t>I nästan alla fall cytostatikabehandling.</w:t>
      </w:r>
    </w:p>
    <w:p w:rsidR="00D97E1E" w:rsidRPr="00D97E1E" w:rsidRDefault="00D97E1E" w:rsidP="00D97E1E">
      <w:pPr>
        <w:autoSpaceDE w:val="0"/>
        <w:autoSpaceDN w:val="0"/>
        <w:adjustRightInd w:val="0"/>
        <w:spacing w:after="240"/>
        <w:rPr>
          <w:bCs/>
          <w:szCs w:val="28"/>
        </w:rPr>
      </w:pPr>
      <w:r w:rsidRPr="00D97E1E">
        <w:rPr>
          <w:bCs/>
          <w:szCs w:val="28"/>
        </w:rPr>
        <w:t>För cytostatikaprotokoll vg se separata kurschemat.</w:t>
      </w:r>
    </w:p>
    <w:p w:rsidR="00D97E1E" w:rsidRPr="00D97E1E" w:rsidRDefault="00D97E1E" w:rsidP="00D97E1E">
      <w:pPr>
        <w:autoSpaceDE w:val="0"/>
        <w:autoSpaceDN w:val="0"/>
        <w:adjustRightInd w:val="0"/>
        <w:spacing w:after="240"/>
        <w:rPr>
          <w:bCs/>
          <w:szCs w:val="28"/>
        </w:rPr>
      </w:pPr>
      <w:r w:rsidRPr="00D97E1E">
        <w:rPr>
          <w:szCs w:val="28"/>
        </w:rPr>
        <w:t>Prognosen vid en malign trofoblastsjukdom är utmärkt.</w:t>
      </w:r>
    </w:p>
    <w:p w:rsidR="00D97E1E" w:rsidRDefault="00D97E1E" w:rsidP="00D97E1E">
      <w:pPr>
        <w:autoSpaceDE w:val="0"/>
        <w:autoSpaceDN w:val="0"/>
        <w:adjustRightInd w:val="0"/>
        <w:spacing w:after="240"/>
        <w:rPr>
          <w:b/>
          <w:bCs/>
          <w:szCs w:val="28"/>
        </w:rPr>
      </w:pPr>
    </w:p>
    <w:p w:rsidR="00D97E1E" w:rsidRPr="00D97E1E" w:rsidRDefault="00D97E1E" w:rsidP="00D97E1E">
      <w:pPr>
        <w:autoSpaceDE w:val="0"/>
        <w:autoSpaceDN w:val="0"/>
        <w:adjustRightInd w:val="0"/>
        <w:spacing w:after="240"/>
        <w:rPr>
          <w:b/>
          <w:bCs/>
          <w:szCs w:val="28"/>
        </w:rPr>
      </w:pPr>
      <w:r w:rsidRPr="00D97E1E">
        <w:rPr>
          <w:b/>
          <w:bCs/>
          <w:szCs w:val="28"/>
        </w:rPr>
        <w:t>Uppföljning av GTN</w:t>
      </w:r>
    </w:p>
    <w:p w:rsidR="00D97E1E" w:rsidRPr="00D97E1E" w:rsidRDefault="00D97E1E" w:rsidP="00D97E1E">
      <w:pPr>
        <w:autoSpaceDE w:val="0"/>
        <w:autoSpaceDN w:val="0"/>
        <w:adjustRightInd w:val="0"/>
        <w:spacing w:after="240"/>
        <w:rPr>
          <w:bCs/>
          <w:szCs w:val="28"/>
        </w:rPr>
      </w:pPr>
      <w:r w:rsidRPr="00D97E1E">
        <w:rPr>
          <w:bCs/>
          <w:szCs w:val="28"/>
        </w:rPr>
        <w:t>hCG varannan vecka tom 6 månader efter behandlingsavslut, månatligen tom 1 år, var tredje månad tom 5 år. Återbesök (1, 3), 6, 12 månader efter behandlingsavslut, därefter årligen.</w:t>
      </w:r>
    </w:p>
    <w:p w:rsidR="00D97E1E" w:rsidRPr="00D97E1E" w:rsidRDefault="00D97E1E" w:rsidP="00D97E1E">
      <w:pPr>
        <w:autoSpaceDE w:val="0"/>
        <w:autoSpaceDN w:val="0"/>
        <w:adjustRightInd w:val="0"/>
        <w:spacing w:after="240"/>
        <w:rPr>
          <w:szCs w:val="28"/>
        </w:rPr>
      </w:pPr>
      <w:r w:rsidRPr="00D97E1E">
        <w:rPr>
          <w:bCs/>
          <w:szCs w:val="28"/>
        </w:rPr>
        <w:t xml:space="preserve">Ny graviditet tillåts ett år efter behandlingsavslut. Tidigt ultraljud rekommenderas samt kontroll av hCG 6 v postpartum. </w:t>
      </w:r>
    </w:p>
    <w:p w:rsidR="00D97E1E" w:rsidRPr="00D97E1E" w:rsidRDefault="00D97E1E" w:rsidP="00D97E1E">
      <w:pPr>
        <w:widowControl/>
        <w:rPr>
          <w:b/>
          <w:szCs w:val="28"/>
        </w:rPr>
      </w:pPr>
    </w:p>
    <w:p w:rsidR="00D97E1E" w:rsidRPr="003668FC" w:rsidRDefault="00D97E1E" w:rsidP="00D97E1E">
      <w:pPr>
        <w:widowControl/>
        <w:rPr>
          <w:b/>
          <w:sz w:val="28"/>
          <w:szCs w:val="28"/>
        </w:rPr>
      </w:pPr>
    </w:p>
    <w:p w:rsidR="00D97E1E" w:rsidRPr="003668FC" w:rsidRDefault="00D97E1E" w:rsidP="00D97E1E">
      <w:pPr>
        <w:widowControl/>
        <w:rPr>
          <w:b/>
          <w:sz w:val="28"/>
          <w:szCs w:val="28"/>
        </w:rPr>
      </w:pPr>
    </w:p>
    <w:p w:rsidR="00D97E1E" w:rsidRDefault="00D97E1E" w:rsidP="00D97E1E">
      <w:pPr>
        <w:widowControl/>
        <w:rPr>
          <w:b/>
          <w:sz w:val="28"/>
          <w:szCs w:val="28"/>
        </w:rPr>
      </w:pPr>
      <w:r>
        <w:rPr>
          <w:b/>
          <w:sz w:val="28"/>
          <w:szCs w:val="28"/>
        </w:rPr>
        <w:t>Versions</w:t>
      </w:r>
      <w:r w:rsidRPr="0073674B">
        <w:rPr>
          <w:b/>
          <w:sz w:val="28"/>
          <w:szCs w:val="28"/>
        </w:rPr>
        <w:t>historik</w:t>
      </w:r>
    </w:p>
    <w:p w:rsidR="00D97E1E" w:rsidRDefault="00D97E1E" w:rsidP="00D97E1E">
      <w:pPr>
        <w:widowControl/>
      </w:pPr>
    </w:p>
    <w:tbl>
      <w:tblPr>
        <w:tblStyle w:val="Tabellrutnt"/>
        <w:tblW w:w="0" w:type="auto"/>
        <w:tblLook w:val="0020" w:firstRow="1" w:lastRow="0" w:firstColumn="0" w:lastColumn="0" w:noHBand="0" w:noVBand="0"/>
      </w:tblPr>
      <w:tblGrid>
        <w:gridCol w:w="1242"/>
        <w:gridCol w:w="1418"/>
        <w:gridCol w:w="4248"/>
        <w:gridCol w:w="2303"/>
      </w:tblGrid>
      <w:tr w:rsidR="00D97E1E" w:rsidRPr="0073674B" w:rsidTr="008542D7">
        <w:tc>
          <w:tcPr>
            <w:tcW w:w="1242" w:type="dxa"/>
            <w:shd w:val="clear" w:color="auto" w:fill="D9D9D9" w:themeFill="background1" w:themeFillShade="D9"/>
          </w:tcPr>
          <w:p w:rsidR="00D97E1E" w:rsidRPr="0073674B" w:rsidRDefault="00D97E1E" w:rsidP="008542D7">
            <w:pPr>
              <w:spacing w:before="120" w:after="120"/>
              <w:jc w:val="both"/>
              <w:rPr>
                <w:b/>
                <w:bCs/>
              </w:rPr>
            </w:pPr>
            <w:r w:rsidRPr="0073674B">
              <w:rPr>
                <w:b/>
                <w:bCs/>
              </w:rPr>
              <w:t>Version</w:t>
            </w:r>
          </w:p>
        </w:tc>
        <w:tc>
          <w:tcPr>
            <w:tcW w:w="1418" w:type="dxa"/>
            <w:shd w:val="clear" w:color="auto" w:fill="D9D9D9" w:themeFill="background1" w:themeFillShade="D9"/>
          </w:tcPr>
          <w:p w:rsidR="00D97E1E" w:rsidRPr="0073674B" w:rsidRDefault="00D97E1E" w:rsidP="008542D7">
            <w:pPr>
              <w:spacing w:before="120" w:after="120"/>
              <w:jc w:val="both"/>
              <w:rPr>
                <w:b/>
                <w:bCs/>
              </w:rPr>
            </w:pPr>
            <w:r w:rsidRPr="0073674B">
              <w:rPr>
                <w:b/>
                <w:bCs/>
              </w:rPr>
              <w:t>Datum</w:t>
            </w:r>
          </w:p>
        </w:tc>
        <w:tc>
          <w:tcPr>
            <w:tcW w:w="4248" w:type="dxa"/>
            <w:shd w:val="clear" w:color="auto" w:fill="D9D9D9" w:themeFill="background1" w:themeFillShade="D9"/>
          </w:tcPr>
          <w:p w:rsidR="00D97E1E" w:rsidRPr="0073674B" w:rsidRDefault="00D97E1E" w:rsidP="008542D7">
            <w:pPr>
              <w:spacing w:before="120" w:after="120"/>
              <w:jc w:val="both"/>
              <w:rPr>
                <w:b/>
                <w:bCs/>
              </w:rPr>
            </w:pPr>
            <w:r w:rsidRPr="0073674B">
              <w:rPr>
                <w:b/>
                <w:bCs/>
              </w:rPr>
              <w:t>Förändring och kommentar</w:t>
            </w:r>
          </w:p>
        </w:tc>
        <w:tc>
          <w:tcPr>
            <w:tcW w:w="2303" w:type="dxa"/>
            <w:shd w:val="clear" w:color="auto" w:fill="D9D9D9" w:themeFill="background1" w:themeFillShade="D9"/>
          </w:tcPr>
          <w:p w:rsidR="00D97E1E" w:rsidRPr="0073674B" w:rsidRDefault="00D97E1E" w:rsidP="008542D7">
            <w:pPr>
              <w:spacing w:before="120" w:after="120"/>
              <w:jc w:val="both"/>
              <w:rPr>
                <w:b/>
                <w:bCs/>
              </w:rPr>
            </w:pPr>
            <w:r w:rsidRPr="0073674B">
              <w:rPr>
                <w:b/>
                <w:bCs/>
              </w:rPr>
              <w:t>Ansvarig</w:t>
            </w:r>
          </w:p>
        </w:tc>
      </w:tr>
      <w:tr w:rsidR="001D5BE0" w:rsidRPr="0073674B" w:rsidTr="008542D7">
        <w:tc>
          <w:tcPr>
            <w:tcW w:w="1242" w:type="dxa"/>
          </w:tcPr>
          <w:p w:rsidR="001D5BE0" w:rsidRDefault="001D5BE0" w:rsidP="008542D7">
            <w:r>
              <w:t>3</w:t>
            </w:r>
          </w:p>
        </w:tc>
        <w:tc>
          <w:tcPr>
            <w:tcW w:w="1418" w:type="dxa"/>
          </w:tcPr>
          <w:p w:rsidR="001D5BE0" w:rsidRDefault="001D5BE0" w:rsidP="008542D7">
            <w:r>
              <w:t>2020-10-29</w:t>
            </w:r>
          </w:p>
        </w:tc>
        <w:tc>
          <w:tcPr>
            <w:tcW w:w="4248" w:type="dxa"/>
          </w:tcPr>
          <w:p w:rsidR="001D5BE0" w:rsidRDefault="001D5BE0" w:rsidP="008542D7">
            <w:r>
              <w:t>Förlängt utan uppdatering</w:t>
            </w:r>
          </w:p>
        </w:tc>
        <w:tc>
          <w:tcPr>
            <w:tcW w:w="2303" w:type="dxa"/>
          </w:tcPr>
          <w:p w:rsidR="001D5BE0" w:rsidRDefault="001D5BE0" w:rsidP="008542D7">
            <w:r>
              <w:t>Ronak Perot</w:t>
            </w:r>
          </w:p>
        </w:tc>
      </w:tr>
      <w:tr w:rsidR="00D97E1E" w:rsidRPr="0073674B" w:rsidTr="008542D7">
        <w:tc>
          <w:tcPr>
            <w:tcW w:w="1242" w:type="dxa"/>
          </w:tcPr>
          <w:p w:rsidR="00D97E1E" w:rsidRPr="0073674B" w:rsidRDefault="00D97E1E" w:rsidP="008542D7">
            <w:r>
              <w:t>2</w:t>
            </w:r>
          </w:p>
        </w:tc>
        <w:tc>
          <w:tcPr>
            <w:tcW w:w="1418" w:type="dxa"/>
          </w:tcPr>
          <w:p w:rsidR="00D97E1E" w:rsidRPr="0073674B" w:rsidRDefault="00D97E1E" w:rsidP="008542D7">
            <w:r>
              <w:t>2018-02-08</w:t>
            </w:r>
          </w:p>
        </w:tc>
        <w:tc>
          <w:tcPr>
            <w:tcW w:w="4248" w:type="dxa"/>
          </w:tcPr>
          <w:p w:rsidR="00D97E1E" w:rsidRPr="0073674B" w:rsidRDefault="00D97E1E" w:rsidP="008542D7">
            <w:r>
              <w:t xml:space="preserve">Förlängt </w:t>
            </w:r>
          </w:p>
        </w:tc>
        <w:tc>
          <w:tcPr>
            <w:tcW w:w="2303" w:type="dxa"/>
          </w:tcPr>
          <w:p w:rsidR="00D97E1E" w:rsidRPr="0073674B" w:rsidRDefault="00D97E1E" w:rsidP="008542D7">
            <w:r>
              <w:t>Michael Algovik</w:t>
            </w:r>
          </w:p>
        </w:tc>
      </w:tr>
      <w:tr w:rsidR="00D97E1E" w:rsidRPr="0073674B" w:rsidTr="008542D7">
        <w:tc>
          <w:tcPr>
            <w:tcW w:w="1242" w:type="dxa"/>
          </w:tcPr>
          <w:p w:rsidR="00D97E1E" w:rsidRPr="0073674B" w:rsidRDefault="00D97E1E" w:rsidP="008542D7">
            <w:r>
              <w:t>1</w:t>
            </w:r>
          </w:p>
        </w:tc>
        <w:tc>
          <w:tcPr>
            <w:tcW w:w="1418" w:type="dxa"/>
          </w:tcPr>
          <w:p w:rsidR="00D97E1E" w:rsidRPr="0073674B" w:rsidRDefault="00D97E1E" w:rsidP="008542D7">
            <w:r>
              <w:t>150512</w:t>
            </w:r>
          </w:p>
        </w:tc>
        <w:tc>
          <w:tcPr>
            <w:tcW w:w="4248" w:type="dxa"/>
          </w:tcPr>
          <w:p w:rsidR="00D97E1E" w:rsidRPr="0073674B" w:rsidRDefault="00D97E1E" w:rsidP="008542D7">
            <w:r>
              <w:t>PM uppdaterat. Text förändrad.</w:t>
            </w:r>
          </w:p>
        </w:tc>
        <w:tc>
          <w:tcPr>
            <w:tcW w:w="2303" w:type="dxa"/>
          </w:tcPr>
          <w:p w:rsidR="00D97E1E" w:rsidRPr="0073674B" w:rsidRDefault="00D97E1E" w:rsidP="008542D7">
            <w:r>
              <w:t>Henrik Falconer</w:t>
            </w:r>
          </w:p>
        </w:tc>
      </w:tr>
    </w:tbl>
    <w:p w:rsidR="00D97E1E" w:rsidRPr="006330C0" w:rsidRDefault="00D97E1E" w:rsidP="00D97E1E"/>
    <w:sectPr w:rsidR="00D97E1E" w:rsidRPr="006330C0" w:rsidSect="00FE15A1">
      <w:headerReference w:type="default" r:id="rId10"/>
      <w:footerReference w:type="default" r:id="rId11"/>
      <w:headerReference w:type="first" r:id="rId12"/>
      <w:footerReference w:type="first" r:id="rId13"/>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F5B" w:rsidRDefault="00E57F5B" w:rsidP="00F47081">
      <w:r>
        <w:separator/>
      </w:r>
    </w:p>
  </w:endnote>
  <w:endnote w:type="continuationSeparator" w:id="0">
    <w:p w:rsidR="00E57F5B" w:rsidRDefault="00E57F5B"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3460A2"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3460A2"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Kar2-10596</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3460A2"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3460A2"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3</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3460A2"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2020-10-30</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3460A2">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3460A2">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3460A2"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3460A2"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Kar2-10596</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3460A2"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3460A2"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3</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3460A2"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2020-10-30</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3460A2">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3460A2">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F5B" w:rsidRDefault="00E57F5B" w:rsidP="00F47081">
      <w:r>
        <w:separator/>
      </w:r>
    </w:p>
  </w:footnote>
  <w:footnote w:type="continuationSeparator" w:id="0">
    <w:p w:rsidR="00E57F5B" w:rsidRDefault="00E57F5B"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3460A2"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1502BB">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EA2F29">
            <w:rPr>
              <w:rFonts w:asciiTheme="minorHAnsi" w:hAnsiTheme="minorHAnsi"/>
              <w:noProof/>
            </w:rPr>
            <w:fldChar w:fldCharType="begin"/>
          </w:r>
          <w:r w:rsidR="00EA2F29">
            <w:rPr>
              <w:rFonts w:asciiTheme="minorHAnsi" w:hAnsiTheme="minorHAnsi"/>
              <w:noProof/>
            </w:rPr>
            <w:instrText xml:space="preserve"> NUMPAGES  \* MERGEFORMAT </w:instrText>
          </w:r>
          <w:r w:rsidR="00EA2F29">
            <w:rPr>
              <w:rFonts w:asciiTheme="minorHAnsi" w:hAnsiTheme="minorHAnsi"/>
              <w:noProof/>
            </w:rPr>
            <w:fldChar w:fldCharType="separate"/>
          </w:r>
          <w:r w:rsidR="001502BB" w:rsidRPr="001502BB">
            <w:rPr>
              <w:rFonts w:asciiTheme="minorHAnsi" w:hAnsiTheme="minorHAnsi"/>
              <w:noProof/>
            </w:rPr>
            <w:t>4</w:t>
          </w:r>
          <w:r w:rsidR="00EA2F29">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3460A2"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1502BB">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EA2F29">
            <w:rPr>
              <w:rFonts w:asciiTheme="minorHAnsi" w:hAnsiTheme="minorHAnsi"/>
              <w:noProof/>
            </w:rPr>
            <w:fldChar w:fldCharType="begin"/>
          </w:r>
          <w:r w:rsidR="00EA2F29">
            <w:rPr>
              <w:rFonts w:asciiTheme="minorHAnsi" w:hAnsiTheme="minorHAnsi"/>
              <w:noProof/>
            </w:rPr>
            <w:instrText xml:space="preserve"> NUMPAGES  \* MERGEFORMAT </w:instrText>
          </w:r>
          <w:r w:rsidR="00EA2F29">
            <w:rPr>
              <w:rFonts w:asciiTheme="minorHAnsi" w:hAnsiTheme="minorHAnsi"/>
              <w:noProof/>
            </w:rPr>
            <w:fldChar w:fldCharType="separate"/>
          </w:r>
          <w:r w:rsidR="001502BB" w:rsidRPr="001502BB">
            <w:rPr>
              <w:rFonts w:asciiTheme="minorHAnsi" w:hAnsiTheme="minorHAnsi"/>
              <w:noProof/>
            </w:rPr>
            <w:t>4</w:t>
          </w:r>
          <w:r w:rsidR="00EA2F29">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625"/>
    <w:multiLevelType w:val="hybridMultilevel"/>
    <w:tmpl w:val="7E38D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4C546E6"/>
    <w:multiLevelType w:val="hybridMultilevel"/>
    <w:tmpl w:val="3D5667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C9E0B55"/>
    <w:multiLevelType w:val="hybridMultilevel"/>
    <w:tmpl w:val="75D04D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3069"/>
    <w:rsid w:val="000E3AC9"/>
    <w:rsid w:val="000F3530"/>
    <w:rsid w:val="000F4D65"/>
    <w:rsid w:val="00100FDC"/>
    <w:rsid w:val="00101E13"/>
    <w:rsid w:val="00104F05"/>
    <w:rsid w:val="001101F1"/>
    <w:rsid w:val="00123992"/>
    <w:rsid w:val="001439DF"/>
    <w:rsid w:val="001502BB"/>
    <w:rsid w:val="001504AB"/>
    <w:rsid w:val="001516CD"/>
    <w:rsid w:val="00167279"/>
    <w:rsid w:val="00191D8A"/>
    <w:rsid w:val="0019376C"/>
    <w:rsid w:val="001A1351"/>
    <w:rsid w:val="001C1BBD"/>
    <w:rsid w:val="001C3913"/>
    <w:rsid w:val="001C5ECA"/>
    <w:rsid w:val="001C71C5"/>
    <w:rsid w:val="001D0E4E"/>
    <w:rsid w:val="001D5BE0"/>
    <w:rsid w:val="001E2505"/>
    <w:rsid w:val="001E6A21"/>
    <w:rsid w:val="001F232D"/>
    <w:rsid w:val="001F2B1C"/>
    <w:rsid w:val="00233A25"/>
    <w:rsid w:val="00235B0D"/>
    <w:rsid w:val="002642CE"/>
    <w:rsid w:val="002769F1"/>
    <w:rsid w:val="002C1CF4"/>
    <w:rsid w:val="002C4C2A"/>
    <w:rsid w:val="002C4EDA"/>
    <w:rsid w:val="002C574A"/>
    <w:rsid w:val="002C57F8"/>
    <w:rsid w:val="002E665F"/>
    <w:rsid w:val="002F6D2D"/>
    <w:rsid w:val="00323C05"/>
    <w:rsid w:val="0033668A"/>
    <w:rsid w:val="003460A2"/>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77836"/>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95DCC"/>
    <w:rsid w:val="005A75E6"/>
    <w:rsid w:val="005B04BF"/>
    <w:rsid w:val="005C1E82"/>
    <w:rsid w:val="005C2A6A"/>
    <w:rsid w:val="005C50FF"/>
    <w:rsid w:val="005C7CF9"/>
    <w:rsid w:val="005D2887"/>
    <w:rsid w:val="005F6922"/>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20E06"/>
    <w:rsid w:val="0083084E"/>
    <w:rsid w:val="0084434C"/>
    <w:rsid w:val="008765DF"/>
    <w:rsid w:val="00877AF7"/>
    <w:rsid w:val="00884C34"/>
    <w:rsid w:val="00887EA3"/>
    <w:rsid w:val="00893D63"/>
    <w:rsid w:val="008956CE"/>
    <w:rsid w:val="008A147E"/>
    <w:rsid w:val="008A6A48"/>
    <w:rsid w:val="008B6CB0"/>
    <w:rsid w:val="008C2B03"/>
    <w:rsid w:val="008D143D"/>
    <w:rsid w:val="008D4840"/>
    <w:rsid w:val="008E03CB"/>
    <w:rsid w:val="008E069F"/>
    <w:rsid w:val="008F25CC"/>
    <w:rsid w:val="008F5F42"/>
    <w:rsid w:val="008F6310"/>
    <w:rsid w:val="00916924"/>
    <w:rsid w:val="00926A38"/>
    <w:rsid w:val="00930A2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D7647"/>
    <w:rsid w:val="00BF186B"/>
    <w:rsid w:val="00C11263"/>
    <w:rsid w:val="00C11EF7"/>
    <w:rsid w:val="00C12ADB"/>
    <w:rsid w:val="00C215F0"/>
    <w:rsid w:val="00C27304"/>
    <w:rsid w:val="00C579D4"/>
    <w:rsid w:val="00C712F5"/>
    <w:rsid w:val="00C90CCA"/>
    <w:rsid w:val="00CA5F1B"/>
    <w:rsid w:val="00CA6F8A"/>
    <w:rsid w:val="00CA768F"/>
    <w:rsid w:val="00CB116E"/>
    <w:rsid w:val="00CB341B"/>
    <w:rsid w:val="00CC2F1C"/>
    <w:rsid w:val="00CC3836"/>
    <w:rsid w:val="00CC4FA1"/>
    <w:rsid w:val="00CC73B9"/>
    <w:rsid w:val="00CD53DF"/>
    <w:rsid w:val="00CF3D27"/>
    <w:rsid w:val="00CF4644"/>
    <w:rsid w:val="00D204EB"/>
    <w:rsid w:val="00D21D17"/>
    <w:rsid w:val="00D24FFA"/>
    <w:rsid w:val="00D270A5"/>
    <w:rsid w:val="00D3561B"/>
    <w:rsid w:val="00D37D27"/>
    <w:rsid w:val="00D41DAA"/>
    <w:rsid w:val="00D50DA7"/>
    <w:rsid w:val="00D56B21"/>
    <w:rsid w:val="00D60013"/>
    <w:rsid w:val="00D67F3A"/>
    <w:rsid w:val="00D7790F"/>
    <w:rsid w:val="00D80196"/>
    <w:rsid w:val="00D97E1E"/>
    <w:rsid w:val="00DA4158"/>
    <w:rsid w:val="00DF3558"/>
    <w:rsid w:val="00DF3638"/>
    <w:rsid w:val="00E157E9"/>
    <w:rsid w:val="00E169EE"/>
    <w:rsid w:val="00E21228"/>
    <w:rsid w:val="00E35E45"/>
    <w:rsid w:val="00E57F5B"/>
    <w:rsid w:val="00E63120"/>
    <w:rsid w:val="00E64F96"/>
    <w:rsid w:val="00E7592E"/>
    <w:rsid w:val="00E82565"/>
    <w:rsid w:val="00E94A0B"/>
    <w:rsid w:val="00EA2F29"/>
    <w:rsid w:val="00EA6533"/>
    <w:rsid w:val="00EB626B"/>
    <w:rsid w:val="00EC191C"/>
    <w:rsid w:val="00EC6562"/>
    <w:rsid w:val="00EC6E22"/>
    <w:rsid w:val="00ED1C5C"/>
    <w:rsid w:val="00ED41EB"/>
    <w:rsid w:val="00EE5B69"/>
    <w:rsid w:val="00EE6DF8"/>
    <w:rsid w:val="00EF6425"/>
    <w:rsid w:val="00F0551D"/>
    <w:rsid w:val="00F055D4"/>
    <w:rsid w:val="00F11FD1"/>
    <w:rsid w:val="00F163A8"/>
    <w:rsid w:val="00F273B9"/>
    <w:rsid w:val="00F62AA2"/>
    <w:rsid w:val="00F8194A"/>
    <w:rsid w:val="00F93951"/>
    <w:rsid w:val="00FB4BA2"/>
    <w:rsid w:val="00FB7788"/>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shapedefaults>
    <o:shapelayout v:ext="edit">
      <o:idmap v:ext="edit" data="1"/>
    </o:shapelayout>
  </w:shapeDefaults>
  <w:decimalSymbol w:val=","/>
  <w:listSeparator w:val=";"/>
  <w15:docId w15:val="{3FF58D43-779C-4B1F-AA02-D92ABB2F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uiPriority w:val="59"/>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D97E1E"/>
    <w:pPr>
      <w:widowControl/>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AF75E-9F29-459A-A7E5-278028CF5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4D4FB345</Template>
  <TotalTime>1</TotalTime>
  <Pages>4</Pages>
  <Words>843</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6</cp:revision>
  <cp:lastPrinted>2005-03-23T12:04:00Z</cp:lastPrinted>
  <dcterms:created xsi:type="dcterms:W3CDTF">2020-10-29T07:11:00Z</dcterms:created>
  <dcterms:modified xsi:type="dcterms:W3CDTF">2021-03-04T09:54:00Z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