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Pr="00B3061B" w:rsidRDefault="0072789C">
      <w:pPr>
        <w:pStyle w:val="Rubrik1"/>
      </w:pPr>
      <w:bookmarkStart w:id="0" w:name="Rubrik"/>
      <w:r w:rsidRPr="00B3061B">
        <w:t>Riktlinje PO Gynekologi och Reproduktionsmedicin</w:t>
      </w:r>
    </w:p>
    <w:p w:rsidR="0072789C" w:rsidRPr="00B3061B" w:rsidRDefault="0072789C" w:rsidP="0072789C"/>
    <w:p w:rsidR="008C2B03" w:rsidRPr="00BA3DB1" w:rsidRDefault="00C35788">
      <w:pPr>
        <w:pStyle w:val="Rubrik1"/>
      </w:pPr>
      <w:r>
        <w:rPr>
          <w:lang w:val="en-US"/>
        </w:rPr>
        <w:fldChar w:fldCharType="begin">
          <w:ffData>
            <w:name w:val="Rubrik"/>
            <w:enabled/>
            <w:calcOnExit w:val="0"/>
            <w:textInput>
              <w:default w:val="Sclerosering av peritonealcystor (H)"/>
            </w:textInput>
          </w:ffData>
        </w:fldChar>
      </w:r>
      <w:r w:rsidR="00BA3DB1" w:rsidRPr="00BA3DB1">
        <w:instrText xml:space="preserve"> FORMTEXT </w:instrText>
      </w:r>
      <w:r w:rsidR="00CF5B2C">
        <w:rPr>
          <w:lang w:val="en-US"/>
        </w:rPr>
      </w:r>
      <w:r>
        <w:rPr>
          <w:lang w:val="en-US"/>
        </w:rPr>
        <w:fldChar w:fldCharType="separate"/>
      </w:r>
      <w:r w:rsidR="00CF5B2C">
        <w:rPr>
          <w:lang w:val="en-US"/>
        </w:rPr>
        <w:t>Sclerosering av peritonealcystor (H)</w:t>
      </w:r>
      <w:r>
        <w:rPr>
          <w:lang w:val="en-US"/>
        </w:rPr>
        <w:fldChar w:fldCharType="end"/>
      </w:r>
      <w:bookmarkEnd w:id="0"/>
      <w:r w:rsidR="005253BF" w:rsidRPr="00BA3DB1">
        <w:t xml:space="preserve"> </w:t>
      </w:r>
    </w:p>
    <w:p w:rsidR="0073674B" w:rsidRPr="009D2946" w:rsidRDefault="00FE15A1" w:rsidP="00FE15A1">
      <w:pPr>
        <w:widowControl/>
        <w:tabs>
          <w:tab w:val="left" w:pos="7650"/>
        </w:tabs>
        <w:rPr>
          <w:b/>
          <w:sz w:val="28"/>
          <w:szCs w:val="28"/>
        </w:rPr>
      </w:pPr>
      <w:r>
        <w:rPr>
          <w:b/>
          <w:sz w:val="28"/>
          <w:szCs w:val="28"/>
        </w:rPr>
        <w:tab/>
      </w:r>
    </w:p>
    <w:p w:rsidR="0072789C" w:rsidRPr="00BA3DB1" w:rsidRDefault="0072789C" w:rsidP="0072789C">
      <w:r>
        <w:t>Utarbetat av Bengt Johansson, överläkare</w:t>
      </w:r>
    </w:p>
    <w:p w:rsidR="0072789C" w:rsidRPr="00792109" w:rsidRDefault="0072789C" w:rsidP="0072789C">
      <w:r>
        <w:t>Godkänd av Ameli Norling, patientområdeschef PO Gynekologi och Reproduktionsmedicin</w:t>
      </w:r>
    </w:p>
    <w:p w:rsidR="0072789C" w:rsidRDefault="0072789C" w:rsidP="0072789C"/>
    <w:p w:rsidR="0072789C" w:rsidRDefault="0072789C" w:rsidP="0072789C"/>
    <w:p w:rsidR="0072789C" w:rsidRDefault="0072789C" w:rsidP="0072789C">
      <w:pPr>
        <w:tabs>
          <w:tab w:val="left" w:pos="1418"/>
        </w:tabs>
        <w:rPr>
          <w:b/>
        </w:rPr>
      </w:pPr>
      <w:r>
        <w:rPr>
          <w:b/>
        </w:rPr>
        <w:t>Peritoneala inclusionscystor</w:t>
      </w:r>
      <w:r>
        <w:rPr>
          <w:b/>
        </w:rPr>
        <w:tab/>
      </w:r>
    </w:p>
    <w:p w:rsidR="0072789C" w:rsidRDefault="0072789C" w:rsidP="0072789C">
      <w:pPr>
        <w:tabs>
          <w:tab w:val="left" w:pos="1418"/>
        </w:tabs>
        <w:ind w:left="1304"/>
      </w:pPr>
      <w:r>
        <w:rPr>
          <w:b/>
        </w:rPr>
        <w:tab/>
      </w:r>
      <w:r w:rsidRPr="00785AC8">
        <w:t>är lokaliserade</w:t>
      </w:r>
      <w:r>
        <w:t xml:space="preserve"> vätskeansamlingar i peritoneum orsakade av peritoneala sammanväxningar som i sin tur är orsakade av tidigare bäckenkirurgi av olika slag, endometrios eller genomgångna bäckenorgansinfektioner, främst salpingit.</w:t>
      </w:r>
    </w:p>
    <w:p w:rsidR="0072789C" w:rsidRDefault="0072789C" w:rsidP="0072789C"/>
    <w:p w:rsidR="0072789C" w:rsidRDefault="0072789C" w:rsidP="0072789C">
      <w:pPr>
        <w:tabs>
          <w:tab w:val="left" w:pos="1418"/>
        </w:tabs>
        <w:ind w:left="1304" w:hanging="1304"/>
      </w:pPr>
      <w:r>
        <w:rPr>
          <w:b/>
        </w:rPr>
        <w:t>Symtom:</w:t>
      </w:r>
      <w:r>
        <w:t xml:space="preserve"> </w:t>
      </w:r>
      <w:r>
        <w:tab/>
        <w:t>Smärtor, men kan även vara symptomlösa. Differentialdiagnostik mot ovarialcystor kan ibland vara knepig.</w:t>
      </w:r>
    </w:p>
    <w:p w:rsidR="0072789C" w:rsidRDefault="0072789C" w:rsidP="0072789C"/>
    <w:p w:rsidR="0072789C" w:rsidRDefault="0072789C" w:rsidP="0072789C">
      <w:pPr>
        <w:tabs>
          <w:tab w:val="left" w:pos="1418"/>
        </w:tabs>
        <w:ind w:left="1304" w:hanging="1304"/>
      </w:pPr>
      <w:r>
        <w:rPr>
          <w:b/>
        </w:rPr>
        <w:t xml:space="preserve">Diagnos:       </w:t>
      </w:r>
      <w:r>
        <w:t>CT eller MR ger oftast diagnosen, genom den oregelbundna konturen som inte stämmer med vanliga ovarial- eller paraovarialcystor</w:t>
      </w:r>
    </w:p>
    <w:p w:rsidR="0072789C" w:rsidRDefault="0072789C" w:rsidP="0072789C"/>
    <w:p w:rsidR="0072789C" w:rsidRDefault="0072789C" w:rsidP="0072789C">
      <w:pPr>
        <w:tabs>
          <w:tab w:val="left" w:pos="1418"/>
        </w:tabs>
        <w:ind w:left="1418" w:hanging="1418"/>
      </w:pPr>
      <w:r>
        <w:rPr>
          <w:b/>
        </w:rPr>
        <w:t>Behandling:</w:t>
      </w:r>
      <w:r>
        <w:tab/>
        <w:t xml:space="preserve">Hormonell behandling har en övergående effekt. Kirurgisk behandling har en hög recidivfrekvens på omkring 50%, </w:t>
      </w:r>
    </w:p>
    <w:p w:rsidR="0072789C" w:rsidRDefault="0072789C" w:rsidP="0072789C">
      <w:pPr>
        <w:tabs>
          <w:tab w:val="left" w:pos="1418"/>
        </w:tabs>
        <w:ind w:left="1418" w:hanging="1418"/>
      </w:pPr>
    </w:p>
    <w:p w:rsidR="0072789C" w:rsidRDefault="0072789C" w:rsidP="0072789C">
      <w:pPr>
        <w:tabs>
          <w:tab w:val="left" w:pos="1418"/>
        </w:tabs>
        <w:ind w:left="1418" w:hanging="1418"/>
      </w:pPr>
      <w:r>
        <w:tab/>
      </w:r>
      <w:r w:rsidRPr="00CC3C4F">
        <w:rPr>
          <w:b/>
        </w:rPr>
        <w:t>Sclerosering</w:t>
      </w:r>
      <w:r>
        <w:t xml:space="preserve"> har använts med framgång av Seung Hyup Kim et al i Seoul, Sydkorea och i ett material på 7 patienter 2001 och i ett större material på 29 patienter 2009 redovisas mycket goda resultat både med Jod-povidin och med 88% alkohol. Succératen var omkring 90% med bägge lösningarna, men han rekommenderade 88% alkohol pga mindre risk för allergiska biverkningar. Se Referenser.</w:t>
      </w:r>
    </w:p>
    <w:p w:rsidR="0072789C" w:rsidRDefault="0072789C" w:rsidP="0072789C"/>
    <w:p w:rsidR="0072789C" w:rsidRDefault="0072789C" w:rsidP="0072789C">
      <w:pPr>
        <w:tabs>
          <w:tab w:val="left" w:pos="1418"/>
        </w:tabs>
        <w:ind w:left="1304" w:hanging="1304"/>
      </w:pPr>
      <w:r>
        <w:rPr>
          <w:b/>
        </w:rPr>
        <w:t>Inför op:</w:t>
      </w:r>
      <w:r>
        <w:t xml:space="preserve">   </w:t>
      </w:r>
      <w:r>
        <w:tab/>
        <w:t>Blodgruppering, Hb, fasta, dusch, PVK.</w:t>
      </w:r>
    </w:p>
    <w:p w:rsidR="0072789C" w:rsidRDefault="0072789C" w:rsidP="0072789C">
      <w:pPr>
        <w:tabs>
          <w:tab w:val="left" w:pos="1418"/>
        </w:tabs>
        <w:ind w:left="1304" w:hanging="1304"/>
      </w:pPr>
      <w:r>
        <w:rPr>
          <w:b/>
        </w:rPr>
        <w:tab/>
      </w:r>
      <w:r>
        <w:t>Bestäm abdominell eller vaginal route. Ingen tarmslynga emellan. Ultraljudsapparat tillgänglig. Pigtailkatetrar, minst två. En i reserv.</w:t>
      </w:r>
    </w:p>
    <w:p w:rsidR="0072789C" w:rsidRDefault="0072789C" w:rsidP="0072789C">
      <w:pPr>
        <w:tabs>
          <w:tab w:val="left" w:pos="1418"/>
        </w:tabs>
        <w:ind w:left="1304" w:hanging="1304"/>
      </w:pPr>
      <w:r>
        <w:tab/>
        <w:t>88% alkohol åstadkommes enklast genom att man tar 1000 ml 99,5% etanol = Absolut finsprit, slår ut 120 ml, och tillsätter 120 ml sterilt vatten.</w:t>
      </w:r>
    </w:p>
    <w:p w:rsidR="0072789C" w:rsidRDefault="0072789C" w:rsidP="0072789C">
      <w:r>
        <w:tab/>
        <w:t>Ingreppet bör ske i narkos.</w:t>
      </w:r>
    </w:p>
    <w:p w:rsidR="0072789C" w:rsidRDefault="0072789C" w:rsidP="0072789C">
      <w:r>
        <w:tab/>
        <w:t>Antibiotikaprofylax vid första scleroseringen, men inte vid de följande.</w:t>
      </w:r>
    </w:p>
    <w:p w:rsidR="0072789C" w:rsidRDefault="0072789C" w:rsidP="0072789C"/>
    <w:p w:rsidR="0072789C" w:rsidRDefault="0072789C" w:rsidP="0072789C"/>
    <w:p w:rsidR="0072789C" w:rsidRDefault="0072789C" w:rsidP="0072789C"/>
    <w:p w:rsidR="0072789C" w:rsidRDefault="0072789C" w:rsidP="0072789C"/>
    <w:p w:rsidR="0072789C" w:rsidRDefault="0072789C" w:rsidP="0072789C"/>
    <w:p w:rsidR="0072789C" w:rsidRDefault="0072789C" w:rsidP="0072789C"/>
    <w:p w:rsidR="0072789C" w:rsidRDefault="0072789C" w:rsidP="0072789C"/>
    <w:p w:rsidR="0072789C" w:rsidRDefault="0072789C" w:rsidP="0072789C"/>
    <w:p w:rsidR="0072789C" w:rsidRDefault="0072789C" w:rsidP="0072789C">
      <w:bookmarkStart w:id="1" w:name="_GoBack"/>
      <w:bookmarkEnd w:id="1"/>
    </w:p>
    <w:p w:rsidR="0072789C" w:rsidRDefault="0072789C" w:rsidP="0072789C">
      <w:pPr>
        <w:ind w:left="1304" w:hanging="1304"/>
      </w:pPr>
      <w:r w:rsidRPr="00295BB0">
        <w:rPr>
          <w:b/>
        </w:rPr>
        <w:t>Operation:</w:t>
      </w:r>
      <w:r>
        <w:rPr>
          <w:b/>
        </w:rPr>
        <w:tab/>
      </w:r>
      <w:r w:rsidRPr="00DD1D7E">
        <w:t>Pat i narkos.</w:t>
      </w:r>
      <w:r>
        <w:rPr>
          <w:b/>
        </w:rPr>
        <w:t xml:space="preserve"> </w:t>
      </w:r>
      <w:r w:rsidRPr="00295BB0">
        <w:t>Ultraljudsledd punk</w:t>
      </w:r>
      <w:r>
        <w:t xml:space="preserve">tion abdominellt eller vaginalt med införande av Pigtailkateter. Säkra pigtailen. Verifiera att katetern ligger rätt. Töm ut peritonelcystan. Skicka för cytologi och odling. Mät upp mängden vätska som kommit ut när cystan är tom. Installera en tredjedel av den mängden i form av 88% alkohol via pigtailkatetern. Dock ej mer än 100 ml. Sätt på proppen. </w:t>
      </w:r>
      <w:r w:rsidRPr="00DD1D7E">
        <w:rPr>
          <w:b/>
        </w:rPr>
        <w:t>Sclerosera i 15 minuter</w:t>
      </w:r>
      <w:r>
        <w:t>. Öppna proppen och låt alkoholen rinna ut i egen takt. Pat kan nu väckas ur narkosen. Sätt på proppen efter 2 timmar.</w:t>
      </w:r>
    </w:p>
    <w:p w:rsidR="0072789C" w:rsidRDefault="0072789C" w:rsidP="0072789C">
      <w:pPr>
        <w:ind w:left="1304" w:hanging="1304"/>
        <w:rPr>
          <w:b/>
        </w:rPr>
      </w:pPr>
    </w:p>
    <w:p w:rsidR="0072789C" w:rsidRDefault="0072789C" w:rsidP="0072789C">
      <w:pPr>
        <w:ind w:left="1304" w:hanging="1304"/>
      </w:pPr>
      <w:r>
        <w:rPr>
          <w:b/>
        </w:rPr>
        <w:tab/>
      </w:r>
      <w:r w:rsidRPr="00295BB0">
        <w:t>Detta upprepas dagligen</w:t>
      </w:r>
      <w:r>
        <w:t xml:space="preserve"> tills dess att cystan rymmer &lt; 5 ml. Då avslutas serien och pigtailkatetern dras ut. (I Kims material upprepades installationen 2 – 9 ggr).</w:t>
      </w:r>
    </w:p>
    <w:p w:rsidR="0072789C" w:rsidRDefault="0072789C" w:rsidP="0072789C">
      <w:pPr>
        <w:ind w:left="1304" w:hanging="1304"/>
      </w:pPr>
    </w:p>
    <w:p w:rsidR="0072789C" w:rsidRDefault="0072789C" w:rsidP="0072789C">
      <w:pPr>
        <w:ind w:left="1304" w:hanging="1304"/>
      </w:pPr>
    </w:p>
    <w:p w:rsidR="0072789C" w:rsidRPr="00295BB0" w:rsidRDefault="0072789C" w:rsidP="0072789C">
      <w:pPr>
        <w:ind w:left="1304" w:hanging="1304"/>
      </w:pPr>
    </w:p>
    <w:p w:rsidR="0072789C" w:rsidRDefault="0072789C" w:rsidP="0072789C">
      <w:pPr>
        <w:tabs>
          <w:tab w:val="left" w:pos="1418"/>
        </w:tabs>
        <w:ind w:left="1418" w:hanging="1418"/>
      </w:pPr>
      <w:r w:rsidRPr="00DD1D7E">
        <w:rPr>
          <w:b/>
        </w:rPr>
        <w:t>Uppföljning:</w:t>
      </w:r>
      <w:r w:rsidRPr="00DD1D7E">
        <w:rPr>
          <w:b/>
        </w:rPr>
        <w:tab/>
      </w:r>
      <w:r w:rsidRPr="00DD1D7E">
        <w:t>Kontroll efter 1 mån, 4 månader</w:t>
      </w:r>
      <w:r>
        <w:t xml:space="preserve"> och därefter var 6:e månad.</w:t>
      </w:r>
    </w:p>
    <w:p w:rsidR="0072789C" w:rsidRDefault="0072789C" w:rsidP="0072789C">
      <w:pPr>
        <w:tabs>
          <w:tab w:val="left" w:pos="1418"/>
        </w:tabs>
        <w:ind w:left="1418" w:hanging="1418"/>
      </w:pPr>
    </w:p>
    <w:p w:rsidR="0072789C" w:rsidRDefault="0072789C" w:rsidP="0072789C">
      <w:pPr>
        <w:tabs>
          <w:tab w:val="left" w:pos="1418"/>
        </w:tabs>
        <w:ind w:left="1418" w:hanging="1418"/>
      </w:pPr>
      <w:r w:rsidRPr="00DD1D7E">
        <w:rPr>
          <w:b/>
        </w:rPr>
        <w:t>Resultat:</w:t>
      </w:r>
      <w:r w:rsidRPr="00DD1D7E">
        <w:rPr>
          <w:b/>
        </w:rPr>
        <w:tab/>
      </w:r>
      <w:r>
        <w:t>Komplett remission: Total kollaps av cystan och symptomfri patient.</w:t>
      </w:r>
    </w:p>
    <w:p w:rsidR="0072789C" w:rsidRDefault="0072789C" w:rsidP="0072789C">
      <w:pPr>
        <w:tabs>
          <w:tab w:val="left" w:pos="1418"/>
        </w:tabs>
        <w:ind w:left="1418" w:hanging="1418"/>
      </w:pPr>
      <w:r>
        <w:rPr>
          <w:b/>
        </w:rPr>
        <w:tab/>
      </w:r>
      <w:r>
        <w:t>Klinis</w:t>
      </w:r>
      <w:r w:rsidRPr="008006BC">
        <w:t>k succé</w:t>
      </w:r>
      <w:r>
        <w:t>: Patienten blev symptomförbättrad och cystan minskade med mer än 50%.</w:t>
      </w:r>
    </w:p>
    <w:p w:rsidR="0072789C" w:rsidRDefault="0072789C" w:rsidP="0072789C">
      <w:pPr>
        <w:tabs>
          <w:tab w:val="left" w:pos="1418"/>
        </w:tabs>
        <w:ind w:left="1418" w:hanging="1418"/>
      </w:pPr>
      <w:r>
        <w:tab/>
        <w:t>Återfall: Cystan tillbaka igen.</w:t>
      </w:r>
    </w:p>
    <w:p w:rsidR="0072789C" w:rsidRPr="009B2841" w:rsidRDefault="0072789C" w:rsidP="0072789C">
      <w:pPr>
        <w:tabs>
          <w:tab w:val="left" w:pos="1418"/>
        </w:tabs>
        <w:ind w:left="1418" w:hanging="1418"/>
        <w:rPr>
          <w:lang w:val="en-US"/>
        </w:rPr>
      </w:pPr>
      <w:r>
        <w:tab/>
        <w:t xml:space="preserve">I Kims material som följdes i 7-94 månader, i genomsnitt 38 månader, gick 15 av 29 i komplett i remission, och 12 av 29 blev klinisk succé. </w:t>
      </w:r>
      <w:r w:rsidRPr="009B2841">
        <w:rPr>
          <w:lang w:val="en-US"/>
        </w:rPr>
        <w:t>Dvs 90% succérate.</w:t>
      </w:r>
    </w:p>
    <w:p w:rsidR="0072789C" w:rsidRPr="009B2841" w:rsidRDefault="0072789C" w:rsidP="0072789C">
      <w:pPr>
        <w:tabs>
          <w:tab w:val="left" w:pos="1418"/>
        </w:tabs>
        <w:ind w:left="1418" w:hanging="1418"/>
        <w:rPr>
          <w:lang w:val="en-US"/>
        </w:rPr>
      </w:pPr>
    </w:p>
    <w:p w:rsidR="0072789C" w:rsidRDefault="0072789C" w:rsidP="0072789C">
      <w:pPr>
        <w:tabs>
          <w:tab w:val="left" w:pos="1418"/>
        </w:tabs>
        <w:ind w:left="1418" w:hanging="1418"/>
        <w:rPr>
          <w:sz w:val="20"/>
          <w:szCs w:val="20"/>
        </w:rPr>
      </w:pPr>
      <w:r w:rsidRPr="008006BC">
        <w:rPr>
          <w:b/>
          <w:lang w:val="en-US"/>
        </w:rPr>
        <w:t xml:space="preserve">Referenser: </w:t>
      </w:r>
      <w:r w:rsidRPr="008006BC">
        <w:rPr>
          <w:b/>
          <w:lang w:val="en-US"/>
        </w:rPr>
        <w:tab/>
      </w:r>
      <w:r w:rsidRPr="00AD7575">
        <w:rPr>
          <w:i/>
          <w:sz w:val="20"/>
          <w:szCs w:val="20"/>
          <w:lang w:val="en-US"/>
        </w:rPr>
        <w:t>Scleroterapy of Peritoneal Inclusion Cysts: Preliminary Results in Seven Patients</w:t>
      </w:r>
      <w:r w:rsidRPr="00AD7575">
        <w:rPr>
          <w:sz w:val="20"/>
          <w:szCs w:val="20"/>
          <w:lang w:val="en-US"/>
        </w:rPr>
        <w:t xml:space="preserve">. </w:t>
      </w:r>
      <w:r w:rsidRPr="00AD7575">
        <w:rPr>
          <w:sz w:val="20"/>
          <w:szCs w:val="20"/>
        </w:rPr>
        <w:t>Jun Yong Jeong &amp; Seung Hyup Kim. Korean J Radiol. 2001 Jul-Sep;2(3): 164-170.</w:t>
      </w:r>
    </w:p>
    <w:p w:rsidR="0072789C" w:rsidRPr="00AD7575" w:rsidRDefault="0072789C" w:rsidP="0072789C">
      <w:pPr>
        <w:tabs>
          <w:tab w:val="left" w:pos="1418"/>
        </w:tabs>
        <w:ind w:left="1418" w:hanging="1418"/>
        <w:rPr>
          <w:sz w:val="20"/>
          <w:szCs w:val="20"/>
        </w:rPr>
      </w:pPr>
    </w:p>
    <w:p w:rsidR="0072789C" w:rsidRPr="00AD7575" w:rsidRDefault="0072789C" w:rsidP="0072789C">
      <w:pPr>
        <w:tabs>
          <w:tab w:val="left" w:pos="1418"/>
        </w:tabs>
        <w:ind w:left="1418" w:hanging="1418"/>
        <w:rPr>
          <w:sz w:val="20"/>
          <w:szCs w:val="20"/>
        </w:rPr>
      </w:pPr>
      <w:r w:rsidRPr="009B2841">
        <w:rPr>
          <w:b/>
          <w:sz w:val="20"/>
          <w:szCs w:val="20"/>
        </w:rPr>
        <w:tab/>
      </w:r>
      <w:r w:rsidRPr="00AD7575">
        <w:rPr>
          <w:b/>
          <w:i/>
          <w:sz w:val="20"/>
          <w:szCs w:val="20"/>
          <w:lang w:val="en-US"/>
        </w:rPr>
        <w:t>Sclerotherapy of peritoneal inclusion cysts: a long-tem evaluation study.</w:t>
      </w:r>
      <w:r w:rsidRPr="00AD7575">
        <w:rPr>
          <w:i/>
          <w:sz w:val="20"/>
          <w:szCs w:val="20"/>
          <w:lang w:val="en-US"/>
        </w:rPr>
        <w:t xml:space="preserve"> </w:t>
      </w:r>
      <w:r w:rsidRPr="00AD7575">
        <w:rPr>
          <w:sz w:val="20"/>
          <w:szCs w:val="20"/>
          <w:lang w:val="en-US"/>
        </w:rPr>
        <w:t xml:space="preserve">Hyun Kyong Lim, Jeong Yeon Cho &amp; Seung Hyup Kim. </w:t>
      </w:r>
      <w:r w:rsidRPr="003723AC">
        <w:rPr>
          <w:sz w:val="20"/>
          <w:szCs w:val="20"/>
          <w:lang w:val="en-US"/>
        </w:rPr>
        <w:t xml:space="preserve">Abdom. </w:t>
      </w:r>
      <w:r w:rsidRPr="00AD7575">
        <w:rPr>
          <w:sz w:val="20"/>
          <w:szCs w:val="20"/>
        </w:rPr>
        <w:t>Imaging (2010) 35:431-436. 22 Springe Science + Business Media LLC 2009. Published online: 22 May 2009.</w:t>
      </w:r>
    </w:p>
    <w:p w:rsidR="0072789C" w:rsidRPr="00AD7575" w:rsidRDefault="0072789C" w:rsidP="0072789C">
      <w:pPr>
        <w:tabs>
          <w:tab w:val="left" w:pos="1418"/>
        </w:tabs>
        <w:ind w:left="1418" w:hanging="1418"/>
        <w:rPr>
          <w:b/>
        </w:rPr>
      </w:pPr>
      <w:r w:rsidRPr="00AD7575">
        <w:rPr>
          <w:b/>
        </w:rPr>
        <w:tab/>
      </w:r>
    </w:p>
    <w:p w:rsidR="0072789C" w:rsidRPr="00AD7575" w:rsidRDefault="0072789C" w:rsidP="0072789C">
      <w:pPr>
        <w:widowControl/>
        <w:rPr>
          <w:b/>
          <w:sz w:val="28"/>
          <w:szCs w:val="28"/>
        </w:rPr>
      </w:pPr>
    </w:p>
    <w:p w:rsidR="0072789C" w:rsidRDefault="0072789C" w:rsidP="0072789C">
      <w:pPr>
        <w:widowControl/>
        <w:rPr>
          <w:b/>
          <w:sz w:val="28"/>
          <w:szCs w:val="28"/>
        </w:rPr>
      </w:pPr>
      <w:r>
        <w:rPr>
          <w:b/>
          <w:sz w:val="28"/>
          <w:szCs w:val="28"/>
        </w:rPr>
        <w:t>Versions</w:t>
      </w:r>
      <w:r w:rsidRPr="0073674B">
        <w:rPr>
          <w:b/>
          <w:sz w:val="28"/>
          <w:szCs w:val="28"/>
        </w:rPr>
        <w:t>historik</w:t>
      </w:r>
    </w:p>
    <w:tbl>
      <w:tblPr>
        <w:tblStyle w:val="Tabellrutnt"/>
        <w:tblW w:w="0" w:type="auto"/>
        <w:tblLook w:val="0020" w:firstRow="1" w:lastRow="0" w:firstColumn="0" w:lastColumn="0" w:noHBand="0" w:noVBand="0"/>
      </w:tblPr>
      <w:tblGrid>
        <w:gridCol w:w="1242"/>
        <w:gridCol w:w="1418"/>
        <w:gridCol w:w="4248"/>
        <w:gridCol w:w="2303"/>
      </w:tblGrid>
      <w:tr w:rsidR="0072789C" w:rsidRPr="0073674B" w:rsidTr="007A3D0F">
        <w:tc>
          <w:tcPr>
            <w:tcW w:w="1242" w:type="dxa"/>
            <w:shd w:val="clear" w:color="auto" w:fill="D9D9D9" w:themeFill="background1" w:themeFillShade="D9"/>
          </w:tcPr>
          <w:p w:rsidR="0072789C" w:rsidRPr="0073674B" w:rsidRDefault="00AE408C" w:rsidP="007A3D0F">
            <w:pPr>
              <w:spacing w:before="120" w:after="120"/>
              <w:jc w:val="both"/>
              <w:rPr>
                <w:b/>
                <w:bCs/>
              </w:rPr>
            </w:pPr>
            <w:r>
              <w:rPr>
                <w:b/>
                <w:bCs/>
              </w:rPr>
              <w:t>V</w:t>
            </w:r>
            <w:r w:rsidR="0072789C" w:rsidRPr="0073674B">
              <w:rPr>
                <w:b/>
                <w:bCs/>
              </w:rPr>
              <w:t>ersion</w:t>
            </w:r>
          </w:p>
        </w:tc>
        <w:tc>
          <w:tcPr>
            <w:tcW w:w="1418" w:type="dxa"/>
            <w:shd w:val="clear" w:color="auto" w:fill="D9D9D9" w:themeFill="background1" w:themeFillShade="D9"/>
          </w:tcPr>
          <w:p w:rsidR="0072789C" w:rsidRPr="0073674B" w:rsidRDefault="0072789C" w:rsidP="007A3D0F">
            <w:pPr>
              <w:spacing w:before="120" w:after="120"/>
              <w:jc w:val="both"/>
              <w:rPr>
                <w:b/>
                <w:bCs/>
              </w:rPr>
            </w:pPr>
            <w:r w:rsidRPr="0073674B">
              <w:rPr>
                <w:b/>
                <w:bCs/>
              </w:rPr>
              <w:t>Datum</w:t>
            </w:r>
          </w:p>
        </w:tc>
        <w:tc>
          <w:tcPr>
            <w:tcW w:w="4248" w:type="dxa"/>
            <w:shd w:val="clear" w:color="auto" w:fill="D9D9D9" w:themeFill="background1" w:themeFillShade="D9"/>
          </w:tcPr>
          <w:p w:rsidR="0072789C" w:rsidRPr="0073674B" w:rsidRDefault="0072789C" w:rsidP="007A3D0F">
            <w:pPr>
              <w:spacing w:before="120" w:after="120"/>
              <w:jc w:val="both"/>
              <w:rPr>
                <w:b/>
                <w:bCs/>
              </w:rPr>
            </w:pPr>
            <w:r w:rsidRPr="0073674B">
              <w:rPr>
                <w:b/>
                <w:bCs/>
              </w:rPr>
              <w:t>Förändring och kommentar</w:t>
            </w:r>
          </w:p>
        </w:tc>
        <w:tc>
          <w:tcPr>
            <w:tcW w:w="2303" w:type="dxa"/>
            <w:shd w:val="clear" w:color="auto" w:fill="D9D9D9" w:themeFill="background1" w:themeFillShade="D9"/>
          </w:tcPr>
          <w:p w:rsidR="0072789C" w:rsidRPr="0073674B" w:rsidRDefault="0072789C" w:rsidP="007A3D0F">
            <w:pPr>
              <w:spacing w:before="120" w:after="120"/>
              <w:jc w:val="both"/>
              <w:rPr>
                <w:b/>
                <w:bCs/>
              </w:rPr>
            </w:pPr>
            <w:r w:rsidRPr="0073674B">
              <w:rPr>
                <w:b/>
                <w:bCs/>
              </w:rPr>
              <w:t>Ansvarig</w:t>
            </w:r>
          </w:p>
        </w:tc>
      </w:tr>
      <w:tr w:rsidR="0072789C" w:rsidRPr="0073674B" w:rsidTr="007A3D0F">
        <w:tc>
          <w:tcPr>
            <w:tcW w:w="1242" w:type="dxa"/>
          </w:tcPr>
          <w:p w:rsidR="0072789C" w:rsidRPr="0073674B" w:rsidRDefault="00AE408C" w:rsidP="007A3D0F">
            <w:r>
              <w:t>2</w:t>
            </w:r>
          </w:p>
        </w:tc>
        <w:tc>
          <w:tcPr>
            <w:tcW w:w="1418" w:type="dxa"/>
          </w:tcPr>
          <w:p w:rsidR="0072789C" w:rsidRPr="0073674B" w:rsidRDefault="00AE408C" w:rsidP="007A3D0F">
            <w:r>
              <w:t>2020-11-06</w:t>
            </w:r>
          </w:p>
        </w:tc>
        <w:tc>
          <w:tcPr>
            <w:tcW w:w="4248" w:type="dxa"/>
          </w:tcPr>
          <w:p w:rsidR="0072789C" w:rsidRPr="0073674B" w:rsidRDefault="00AE408C" w:rsidP="007A3D0F">
            <w:r>
              <w:t>Förlängd utan uppdatering</w:t>
            </w:r>
          </w:p>
        </w:tc>
        <w:tc>
          <w:tcPr>
            <w:tcW w:w="2303" w:type="dxa"/>
          </w:tcPr>
          <w:p w:rsidR="0072789C" w:rsidRPr="0073674B" w:rsidRDefault="00AE408C" w:rsidP="007A3D0F">
            <w:r>
              <w:t>Ronak Perot</w:t>
            </w:r>
          </w:p>
        </w:tc>
      </w:tr>
      <w:tr w:rsidR="0072789C" w:rsidRPr="0073674B" w:rsidTr="007A3D0F">
        <w:tc>
          <w:tcPr>
            <w:tcW w:w="1242" w:type="dxa"/>
          </w:tcPr>
          <w:p w:rsidR="0072789C" w:rsidRPr="0073674B" w:rsidRDefault="0072789C" w:rsidP="007A3D0F">
            <w:r>
              <w:t>1</w:t>
            </w:r>
          </w:p>
        </w:tc>
        <w:tc>
          <w:tcPr>
            <w:tcW w:w="1418" w:type="dxa"/>
          </w:tcPr>
          <w:p w:rsidR="0072789C" w:rsidRPr="0073674B" w:rsidRDefault="0072789C" w:rsidP="007A3D0F">
            <w:r>
              <w:t>2017-03-22</w:t>
            </w:r>
          </w:p>
        </w:tc>
        <w:tc>
          <w:tcPr>
            <w:tcW w:w="4248" w:type="dxa"/>
          </w:tcPr>
          <w:p w:rsidR="0072789C" w:rsidRPr="0073674B" w:rsidRDefault="0072789C" w:rsidP="007A3D0F">
            <w:r>
              <w:t xml:space="preserve">Nytt PM </w:t>
            </w:r>
          </w:p>
        </w:tc>
        <w:tc>
          <w:tcPr>
            <w:tcW w:w="2303" w:type="dxa"/>
          </w:tcPr>
          <w:p w:rsidR="0072789C" w:rsidRPr="0073674B" w:rsidRDefault="002A20C3" w:rsidP="007A3D0F">
            <w:r>
              <w:t>Ameli Norling</w:t>
            </w:r>
          </w:p>
        </w:tc>
      </w:tr>
    </w:tbl>
    <w:p w:rsidR="005262F7" w:rsidRPr="00E0470A" w:rsidRDefault="005262F7" w:rsidP="00E0470A">
      <w:pPr>
        <w:widowControl/>
        <w:tabs>
          <w:tab w:val="left" w:pos="2445"/>
        </w:tabs>
        <w:rPr>
          <w:b/>
          <w:sz w:val="28"/>
          <w:szCs w:val="28"/>
        </w:rPr>
      </w:pPr>
    </w:p>
    <w:sectPr w:rsidR="005262F7" w:rsidRPr="00E0470A" w:rsidSect="00FE15A1">
      <w:headerReference w:type="default" r:id="rId7"/>
      <w:footerReference w:type="default" r:id="rId8"/>
      <w:headerReference w:type="first" r:id="rId9"/>
      <w:footerReference w:type="first" r:id="rId10"/>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4E9A" w:rsidRDefault="00194E9A" w:rsidP="00F47081">
      <w:r>
        <w:separator/>
      </w:r>
    </w:p>
  </w:endnote>
  <w:endnote w:type="continuationSeparator" w:id="0">
    <w:p w:rsidR="00194E9A" w:rsidRDefault="00194E9A"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CF5B2C"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Susanne Klintberg/SLL/SLL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CF5B2C"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Kar2-13791</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CF5B2C"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Ronak Perot/Karolinska/SLL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CF5B2C"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2</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CF5B2C"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2020-11-09</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C35788"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CF5B2C">
            <w:rPr>
              <w:rFonts w:asciiTheme="minorHAnsi" w:hAnsiTheme="minorHAnsi"/>
              <w:noProof/>
              <w:sz w:val="16"/>
              <w:szCs w:val="16"/>
            </w:rPr>
            <w:t>2021-03-04</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CF5B2C">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CF5B2C"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Susanne Klintberg/SLL/SLL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CF5B2C"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Kar2-13791</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CF5B2C"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Ronak Perot/Karolinska/SLL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CF5B2C"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2</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CF5B2C"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2020-11-09</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C35788"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CF5B2C">
            <w:rPr>
              <w:rFonts w:asciiTheme="minorHAnsi" w:hAnsiTheme="minorHAnsi"/>
              <w:noProof/>
              <w:sz w:val="16"/>
              <w:szCs w:val="16"/>
            </w:rPr>
            <w:t>2021-03-04</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CF5B2C">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4E9A" w:rsidRDefault="00194E9A" w:rsidP="00F47081">
      <w:r>
        <w:separator/>
      </w:r>
    </w:p>
  </w:footnote>
  <w:footnote w:type="continuationSeparator" w:id="0">
    <w:p w:rsidR="00194E9A" w:rsidRDefault="00194E9A"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CF5B2C"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C35788"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C0311D">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CA2E46">
            <w:rPr>
              <w:rFonts w:asciiTheme="minorHAnsi" w:hAnsiTheme="minorHAnsi"/>
              <w:noProof/>
            </w:rPr>
            <w:fldChar w:fldCharType="begin"/>
          </w:r>
          <w:r w:rsidR="00CA2E46">
            <w:rPr>
              <w:rFonts w:asciiTheme="minorHAnsi" w:hAnsiTheme="minorHAnsi"/>
              <w:noProof/>
            </w:rPr>
            <w:instrText xml:space="preserve"> NUMPAGES  \* MERGEFORMAT </w:instrText>
          </w:r>
          <w:r w:rsidR="00CA2E46">
            <w:rPr>
              <w:rFonts w:asciiTheme="minorHAnsi" w:hAnsiTheme="minorHAnsi"/>
              <w:noProof/>
            </w:rPr>
            <w:fldChar w:fldCharType="separate"/>
          </w:r>
          <w:r w:rsidR="00C0311D" w:rsidRPr="00C0311D">
            <w:rPr>
              <w:rFonts w:asciiTheme="minorHAnsi" w:hAnsiTheme="minorHAnsi"/>
              <w:noProof/>
            </w:rPr>
            <w:t>2</w:t>
          </w:r>
          <w:r w:rsidR="00CA2E46">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CF5B2C"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C35788"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C0311D">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CA2E46">
            <w:rPr>
              <w:rFonts w:asciiTheme="minorHAnsi" w:hAnsiTheme="minorHAnsi"/>
              <w:noProof/>
            </w:rPr>
            <w:fldChar w:fldCharType="begin"/>
          </w:r>
          <w:r w:rsidR="00CA2E46">
            <w:rPr>
              <w:rFonts w:asciiTheme="minorHAnsi" w:hAnsiTheme="minorHAnsi"/>
              <w:noProof/>
            </w:rPr>
            <w:instrText xml:space="preserve"> NUMPAGES  \* MERGEFORMAT </w:instrText>
          </w:r>
          <w:r w:rsidR="00CA2E46">
            <w:rPr>
              <w:rFonts w:asciiTheme="minorHAnsi" w:hAnsiTheme="minorHAnsi"/>
              <w:noProof/>
            </w:rPr>
            <w:fldChar w:fldCharType="separate"/>
          </w:r>
          <w:r w:rsidR="00C0311D" w:rsidRPr="00C0311D">
            <w:rPr>
              <w:rFonts w:asciiTheme="minorHAnsi" w:hAnsiTheme="minorHAnsi"/>
              <w:noProof/>
            </w:rPr>
            <w:t>2</w:t>
          </w:r>
          <w:r w:rsidR="00CA2E46">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6189"/>
    <w:rsid w:val="00047788"/>
    <w:rsid w:val="00047E0F"/>
    <w:rsid w:val="00051851"/>
    <w:rsid w:val="00072F71"/>
    <w:rsid w:val="00080A88"/>
    <w:rsid w:val="000834F7"/>
    <w:rsid w:val="00090B26"/>
    <w:rsid w:val="00097170"/>
    <w:rsid w:val="000A6A10"/>
    <w:rsid w:val="000B17EC"/>
    <w:rsid w:val="000B4D3D"/>
    <w:rsid w:val="000C04C7"/>
    <w:rsid w:val="000D4E47"/>
    <w:rsid w:val="000E3AC9"/>
    <w:rsid w:val="000F3530"/>
    <w:rsid w:val="000F4D65"/>
    <w:rsid w:val="00100FDC"/>
    <w:rsid w:val="00101E13"/>
    <w:rsid w:val="001101F1"/>
    <w:rsid w:val="00123992"/>
    <w:rsid w:val="001439DF"/>
    <w:rsid w:val="001504AB"/>
    <w:rsid w:val="001516CD"/>
    <w:rsid w:val="00152FD8"/>
    <w:rsid w:val="00167279"/>
    <w:rsid w:val="00191D8A"/>
    <w:rsid w:val="0019376C"/>
    <w:rsid w:val="00194E9A"/>
    <w:rsid w:val="001A1351"/>
    <w:rsid w:val="001A4670"/>
    <w:rsid w:val="001C1BBD"/>
    <w:rsid w:val="001C3913"/>
    <w:rsid w:val="001C5ECA"/>
    <w:rsid w:val="001C71C5"/>
    <w:rsid w:val="001D0E4E"/>
    <w:rsid w:val="001E2505"/>
    <w:rsid w:val="001E6A21"/>
    <w:rsid w:val="001F232D"/>
    <w:rsid w:val="001F2B1C"/>
    <w:rsid w:val="00211332"/>
    <w:rsid w:val="002121BE"/>
    <w:rsid w:val="00231D96"/>
    <w:rsid w:val="00233A25"/>
    <w:rsid w:val="00235B0D"/>
    <w:rsid w:val="002642CE"/>
    <w:rsid w:val="002748B1"/>
    <w:rsid w:val="002769F1"/>
    <w:rsid w:val="002A20C3"/>
    <w:rsid w:val="002C1CF4"/>
    <w:rsid w:val="002C4C2A"/>
    <w:rsid w:val="002C4EDA"/>
    <w:rsid w:val="002C574A"/>
    <w:rsid w:val="002C57F8"/>
    <w:rsid w:val="002D7AAB"/>
    <w:rsid w:val="002E665F"/>
    <w:rsid w:val="002F6D2D"/>
    <w:rsid w:val="00320628"/>
    <w:rsid w:val="00323C05"/>
    <w:rsid w:val="0033668A"/>
    <w:rsid w:val="003400E8"/>
    <w:rsid w:val="003539AA"/>
    <w:rsid w:val="00356E00"/>
    <w:rsid w:val="00363F7D"/>
    <w:rsid w:val="00372102"/>
    <w:rsid w:val="00376CF2"/>
    <w:rsid w:val="003A5662"/>
    <w:rsid w:val="003B131D"/>
    <w:rsid w:val="003C230B"/>
    <w:rsid w:val="003C7DDC"/>
    <w:rsid w:val="003D02CC"/>
    <w:rsid w:val="003D3D1C"/>
    <w:rsid w:val="003F5240"/>
    <w:rsid w:val="003F7062"/>
    <w:rsid w:val="00402C2E"/>
    <w:rsid w:val="004042DC"/>
    <w:rsid w:val="004056C6"/>
    <w:rsid w:val="00405774"/>
    <w:rsid w:val="00405E69"/>
    <w:rsid w:val="00407F90"/>
    <w:rsid w:val="004111D2"/>
    <w:rsid w:val="00442FAA"/>
    <w:rsid w:val="0044606F"/>
    <w:rsid w:val="00447EBD"/>
    <w:rsid w:val="00463852"/>
    <w:rsid w:val="00463CE9"/>
    <w:rsid w:val="004644A8"/>
    <w:rsid w:val="00473759"/>
    <w:rsid w:val="00474607"/>
    <w:rsid w:val="004C5F7B"/>
    <w:rsid w:val="004E0843"/>
    <w:rsid w:val="00502B3C"/>
    <w:rsid w:val="00505E91"/>
    <w:rsid w:val="00522CC6"/>
    <w:rsid w:val="00523EAD"/>
    <w:rsid w:val="005253BF"/>
    <w:rsid w:val="005262F7"/>
    <w:rsid w:val="00533490"/>
    <w:rsid w:val="00536E3C"/>
    <w:rsid w:val="00541570"/>
    <w:rsid w:val="00541FCA"/>
    <w:rsid w:val="00543742"/>
    <w:rsid w:val="005647A8"/>
    <w:rsid w:val="00576479"/>
    <w:rsid w:val="00594B6A"/>
    <w:rsid w:val="005A4D15"/>
    <w:rsid w:val="005A75E6"/>
    <w:rsid w:val="005B04BF"/>
    <w:rsid w:val="005C1E82"/>
    <w:rsid w:val="005C2A6A"/>
    <w:rsid w:val="005C50FF"/>
    <w:rsid w:val="005C7CF9"/>
    <w:rsid w:val="00602275"/>
    <w:rsid w:val="00605C27"/>
    <w:rsid w:val="006138C1"/>
    <w:rsid w:val="00624F6F"/>
    <w:rsid w:val="006330C0"/>
    <w:rsid w:val="0063761C"/>
    <w:rsid w:val="00663476"/>
    <w:rsid w:val="0066413E"/>
    <w:rsid w:val="00664ED1"/>
    <w:rsid w:val="006658CE"/>
    <w:rsid w:val="00666B34"/>
    <w:rsid w:val="0067257A"/>
    <w:rsid w:val="00677161"/>
    <w:rsid w:val="0068125E"/>
    <w:rsid w:val="006A552A"/>
    <w:rsid w:val="006D2669"/>
    <w:rsid w:val="006D3EEA"/>
    <w:rsid w:val="006E318F"/>
    <w:rsid w:val="006E5CD4"/>
    <w:rsid w:val="00720662"/>
    <w:rsid w:val="0072789C"/>
    <w:rsid w:val="00730505"/>
    <w:rsid w:val="007310E3"/>
    <w:rsid w:val="00732E14"/>
    <w:rsid w:val="0073674B"/>
    <w:rsid w:val="00756427"/>
    <w:rsid w:val="00762575"/>
    <w:rsid w:val="0076688B"/>
    <w:rsid w:val="00773423"/>
    <w:rsid w:val="007825F9"/>
    <w:rsid w:val="00784D4F"/>
    <w:rsid w:val="00792109"/>
    <w:rsid w:val="007A7CD8"/>
    <w:rsid w:val="007B79CD"/>
    <w:rsid w:val="007C46E0"/>
    <w:rsid w:val="007C481A"/>
    <w:rsid w:val="007D561A"/>
    <w:rsid w:val="00820E06"/>
    <w:rsid w:val="008223B4"/>
    <w:rsid w:val="0083084E"/>
    <w:rsid w:val="00840143"/>
    <w:rsid w:val="0084434C"/>
    <w:rsid w:val="008765DF"/>
    <w:rsid w:val="00877AF7"/>
    <w:rsid w:val="00884C34"/>
    <w:rsid w:val="00887EA3"/>
    <w:rsid w:val="00893D63"/>
    <w:rsid w:val="008956CE"/>
    <w:rsid w:val="008A147E"/>
    <w:rsid w:val="008A6A48"/>
    <w:rsid w:val="008B6CB0"/>
    <w:rsid w:val="008C2B03"/>
    <w:rsid w:val="008D143D"/>
    <w:rsid w:val="008D4840"/>
    <w:rsid w:val="008E03CB"/>
    <w:rsid w:val="008F25CC"/>
    <w:rsid w:val="008F5F42"/>
    <w:rsid w:val="008F6310"/>
    <w:rsid w:val="00913C8C"/>
    <w:rsid w:val="00916924"/>
    <w:rsid w:val="00926A38"/>
    <w:rsid w:val="00942C60"/>
    <w:rsid w:val="00946C7B"/>
    <w:rsid w:val="00947A73"/>
    <w:rsid w:val="00964350"/>
    <w:rsid w:val="00970224"/>
    <w:rsid w:val="0097166F"/>
    <w:rsid w:val="009954D8"/>
    <w:rsid w:val="00996DBF"/>
    <w:rsid w:val="009A0B7E"/>
    <w:rsid w:val="009C2F30"/>
    <w:rsid w:val="009D2946"/>
    <w:rsid w:val="009D51B5"/>
    <w:rsid w:val="009E34D9"/>
    <w:rsid w:val="009E6815"/>
    <w:rsid w:val="009F03FB"/>
    <w:rsid w:val="00A1365F"/>
    <w:rsid w:val="00A31276"/>
    <w:rsid w:val="00A50CC6"/>
    <w:rsid w:val="00A67932"/>
    <w:rsid w:val="00A73FE6"/>
    <w:rsid w:val="00A7734E"/>
    <w:rsid w:val="00A808AE"/>
    <w:rsid w:val="00A80F9E"/>
    <w:rsid w:val="00A83DA6"/>
    <w:rsid w:val="00AD7B2E"/>
    <w:rsid w:val="00AE2C8C"/>
    <w:rsid w:val="00AE408C"/>
    <w:rsid w:val="00AF69EE"/>
    <w:rsid w:val="00B00F3E"/>
    <w:rsid w:val="00B2112E"/>
    <w:rsid w:val="00B22B7D"/>
    <w:rsid w:val="00B237A2"/>
    <w:rsid w:val="00B24C48"/>
    <w:rsid w:val="00B3061B"/>
    <w:rsid w:val="00B46D94"/>
    <w:rsid w:val="00B5688E"/>
    <w:rsid w:val="00B62417"/>
    <w:rsid w:val="00B7532A"/>
    <w:rsid w:val="00B81FC6"/>
    <w:rsid w:val="00B85E7F"/>
    <w:rsid w:val="00BA3DB1"/>
    <w:rsid w:val="00BB044B"/>
    <w:rsid w:val="00BB2D58"/>
    <w:rsid w:val="00BB74B1"/>
    <w:rsid w:val="00BC2905"/>
    <w:rsid w:val="00BD7647"/>
    <w:rsid w:val="00BF186B"/>
    <w:rsid w:val="00C0311D"/>
    <w:rsid w:val="00C04552"/>
    <w:rsid w:val="00C11263"/>
    <w:rsid w:val="00C11EF7"/>
    <w:rsid w:val="00C215F0"/>
    <w:rsid w:val="00C27304"/>
    <w:rsid w:val="00C35788"/>
    <w:rsid w:val="00C3610C"/>
    <w:rsid w:val="00C579D4"/>
    <w:rsid w:val="00C712F5"/>
    <w:rsid w:val="00C73F8F"/>
    <w:rsid w:val="00C75E35"/>
    <w:rsid w:val="00C90CCA"/>
    <w:rsid w:val="00CA2E46"/>
    <w:rsid w:val="00CA6F8A"/>
    <w:rsid w:val="00CB116E"/>
    <w:rsid w:val="00CB341B"/>
    <w:rsid w:val="00CC0706"/>
    <w:rsid w:val="00CC3836"/>
    <w:rsid w:val="00CC4FA1"/>
    <w:rsid w:val="00CC73B9"/>
    <w:rsid w:val="00CD53DF"/>
    <w:rsid w:val="00CD562D"/>
    <w:rsid w:val="00CF4644"/>
    <w:rsid w:val="00CF5B2C"/>
    <w:rsid w:val="00D204EB"/>
    <w:rsid w:val="00D21D17"/>
    <w:rsid w:val="00D24FFA"/>
    <w:rsid w:val="00D270A5"/>
    <w:rsid w:val="00D3561B"/>
    <w:rsid w:val="00D37D27"/>
    <w:rsid w:val="00D41DAA"/>
    <w:rsid w:val="00D4445C"/>
    <w:rsid w:val="00D50DA7"/>
    <w:rsid w:val="00D56B21"/>
    <w:rsid w:val="00D60013"/>
    <w:rsid w:val="00D61BDB"/>
    <w:rsid w:val="00D67F3A"/>
    <w:rsid w:val="00D7790F"/>
    <w:rsid w:val="00D96A6B"/>
    <w:rsid w:val="00DA4158"/>
    <w:rsid w:val="00DF3558"/>
    <w:rsid w:val="00DF3638"/>
    <w:rsid w:val="00E0470A"/>
    <w:rsid w:val="00E169EE"/>
    <w:rsid w:val="00E21228"/>
    <w:rsid w:val="00E26FEF"/>
    <w:rsid w:val="00E31398"/>
    <w:rsid w:val="00E63120"/>
    <w:rsid w:val="00E64F96"/>
    <w:rsid w:val="00E7592E"/>
    <w:rsid w:val="00E82565"/>
    <w:rsid w:val="00E87827"/>
    <w:rsid w:val="00E94A0B"/>
    <w:rsid w:val="00EA6533"/>
    <w:rsid w:val="00EB626B"/>
    <w:rsid w:val="00EC191C"/>
    <w:rsid w:val="00EC6562"/>
    <w:rsid w:val="00EC6E22"/>
    <w:rsid w:val="00ED1C5C"/>
    <w:rsid w:val="00ED41EB"/>
    <w:rsid w:val="00EE5B69"/>
    <w:rsid w:val="00EE6DF8"/>
    <w:rsid w:val="00EF6425"/>
    <w:rsid w:val="00F0551D"/>
    <w:rsid w:val="00F055D4"/>
    <w:rsid w:val="00F11FD1"/>
    <w:rsid w:val="00F273B9"/>
    <w:rsid w:val="00F62AA2"/>
    <w:rsid w:val="00F8194A"/>
    <w:rsid w:val="00F93951"/>
    <w:rsid w:val="00F93DAE"/>
    <w:rsid w:val="00FB023F"/>
    <w:rsid w:val="00FB4BA2"/>
    <w:rsid w:val="00FB7D9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shapedefaults>
    <o:shapelayout v:ext="edit">
      <o:idmap v:ext="edit" data="1"/>
    </o:shapelayout>
  </w:shapeDefaults>
  <w:decimalSymbol w:val=","/>
  <w:listSeparator w:val=";"/>
  <w15:docId w15:val="{CB2B989E-E795-4915-8D05-CF76E923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70062-F1C9-40C7-918B-3BE72FD37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5CA6D977</Template>
  <TotalTime>1</TotalTime>
  <Pages>2</Pages>
  <Words>542</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Susanne Klintberg</cp:lastModifiedBy>
  <cp:revision>6</cp:revision>
  <cp:lastPrinted>2005-03-23T12:04:00Z</cp:lastPrinted>
  <dcterms:created xsi:type="dcterms:W3CDTF">2020-11-06T09:53:00Z</dcterms:created>
  <dcterms:modified xsi:type="dcterms:W3CDTF">2021-03-04T09:56:00Z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136318</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