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F38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center"/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0"/>
          <w:sz w:val="28"/>
          <w:szCs w:val="28"/>
          <w:bdr w:val="none" w:color="auto" w:sz="0" w:space="0"/>
          <w:shd w:val="clear" w:fill="FFFFFF"/>
        </w:rPr>
        <w:t>4.1.4 Лабораторна робота - Визначення MAC-адреси вузла</w:t>
      </w:r>
      <w:bookmarkStart w:id="0" w:name="_GoBack"/>
      <w:bookmarkEnd w:id="0"/>
      <w:r>
        <w:drawing>
          <wp:inline distT="0" distB="0" distL="114300" distR="114300">
            <wp:extent cx="6644005" cy="4427855"/>
            <wp:effectExtent l="0" t="0" r="444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24320" cy="2967990"/>
            <wp:effectExtent l="0" t="0" r="508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8E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center"/>
      </w:pPr>
      <w:r>
        <w:drawing>
          <wp:inline distT="0" distB="0" distL="114300" distR="114300">
            <wp:extent cx="6644640" cy="2667635"/>
            <wp:effectExtent l="0" t="0" r="3810" b="184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B0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7E653A4">
      <w:pPr>
        <w:rPr>
          <w:rFonts w:hint="default" w:ascii="Times New Roman" w:hAnsi="Times New Roman" w:cs="Times New Roman"/>
          <w:sz w:val="28"/>
          <w:szCs w:val="28"/>
        </w:rPr>
      </w:pPr>
    </w:p>
    <w:p w14:paraId="7E912AC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Словник терм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інів:</w:t>
      </w:r>
    </w:p>
    <w:p w14:paraId="5F6E3CF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tbl>
      <w:tblPr>
        <w:tblStyle w:val="6"/>
        <w:tblW w:w="10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21"/>
        <w:gridCol w:w="2506"/>
        <w:gridCol w:w="5917"/>
      </w:tblGrid>
      <w:tr w14:paraId="54F7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1" w:hRule="atLeast"/>
        </w:trPr>
        <w:tc>
          <w:tcPr>
            <w:tcW w:w="2421" w:type="dxa"/>
            <w:shd w:val="clear" w:color="auto" w:fill="auto"/>
            <w:vAlign w:val="center"/>
          </w:tcPr>
          <w:p w14:paraId="77380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lang w:val="en-US" w:eastAsia="zh-CN" w:bidi="ar"/>
              </w:rPr>
              <w:t>Термін (англ.)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265E4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lang w:val="en-US" w:eastAsia="zh-CN" w:bidi="ar"/>
              </w:rPr>
              <w:t>Термін (укр.)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102BC4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lang w:val="en-US" w:eastAsia="zh-CN" w:bidi="ar"/>
              </w:rPr>
              <w:t>Визначення (Пояснення)</w:t>
            </w:r>
          </w:p>
        </w:tc>
      </w:tr>
      <w:tr w14:paraId="6C6C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95" w:hRule="atLeast"/>
        </w:trPr>
        <w:tc>
          <w:tcPr>
            <w:tcW w:w="2421" w:type="dxa"/>
            <w:shd w:val="clear" w:color="auto" w:fill="auto"/>
            <w:vAlign w:val="center"/>
          </w:tcPr>
          <w:p w14:paraId="4F4D1C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ARP (Address Resolution Protocol)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0E2821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Протокол визначення адрес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16B945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Протокол мережевого рівня (L3), який динамічно зіставляє IP-адреси (логічні) з відповідними MAC-адресами (фізичними) в межах однієї локальної мережі (L2).</w:t>
            </w:r>
          </w:p>
        </w:tc>
      </w:tr>
      <w:tr w14:paraId="6DF4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95" w:hRule="atLeast"/>
        </w:trPr>
        <w:tc>
          <w:tcPr>
            <w:tcW w:w="2421" w:type="dxa"/>
            <w:shd w:val="clear" w:color="auto" w:fill="auto"/>
            <w:vAlign w:val="center"/>
          </w:tcPr>
          <w:p w14:paraId="7DF505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DHCP (Dynamic Host Configuration Protocol)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50726D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Протокол динамічної конфігурації вузлів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58AF42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Протокол, який автоматично надає мережевим пристроям IP-адреси та іншу конфігураційну інформацію (маска підмережі, шлюз, DNS).</w:t>
            </w:r>
          </w:p>
        </w:tc>
      </w:tr>
      <w:tr w14:paraId="383A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17" w:hRule="atLeast"/>
        </w:trPr>
        <w:tc>
          <w:tcPr>
            <w:tcW w:w="2421" w:type="dxa"/>
            <w:shd w:val="clear" w:color="auto" w:fill="auto"/>
            <w:vAlign w:val="center"/>
          </w:tcPr>
          <w:p w14:paraId="0FC6BC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QoS (Quality of Service)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7B0C8B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Якість обслуговування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78CD65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Механізм, що дозволяє пріоритезувати певні типи трафіку (наприклад, відео або голосовий зв'язок), чутливі до затримок, над менш критичним трафіком.</w:t>
            </w:r>
          </w:p>
        </w:tc>
      </w:tr>
      <w:tr w14:paraId="1EE8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17" w:hRule="atLeast"/>
        </w:trPr>
        <w:tc>
          <w:tcPr>
            <w:tcW w:w="2421" w:type="dxa"/>
            <w:shd w:val="clear" w:color="auto" w:fill="auto"/>
            <w:vAlign w:val="center"/>
          </w:tcPr>
          <w:p w14:paraId="577E3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Loopback Interface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024B91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Інтерфейс зворотного зв'язку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49A79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Віртуальний, логічний мережевий інтерфейс, який завжди активний і використовується для тестування стеку TCP/IP на самому пристрої (зазвичай має IP-адресу 127.0.0.1).</w:t>
            </w:r>
          </w:p>
        </w:tc>
      </w:tr>
      <w:tr w14:paraId="43E1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53" w:hRule="atLeast"/>
        </w:trPr>
        <w:tc>
          <w:tcPr>
            <w:tcW w:w="2421" w:type="dxa"/>
            <w:shd w:val="clear" w:color="auto" w:fill="auto"/>
            <w:vAlign w:val="center"/>
          </w:tcPr>
          <w:p w14:paraId="753567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Hop Limit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59A758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Обмеження переходу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06EBC7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Поле в заголовку пакета IPv6, яке функціонально замінює поле Time-to-Live (TTL) з IPv4. Воно зменшується на одиницю кожним маршрутизатором для запобігання нескінченного блукання пакетів.</w:t>
            </w:r>
          </w:p>
        </w:tc>
      </w:tr>
      <w:tr w14:paraId="430A5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17" w:hRule="atLeast"/>
        </w:trPr>
        <w:tc>
          <w:tcPr>
            <w:tcW w:w="2421" w:type="dxa"/>
            <w:shd w:val="clear" w:color="auto" w:fill="auto"/>
            <w:vAlign w:val="center"/>
          </w:tcPr>
          <w:p w14:paraId="15F4B8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ICMP (Internet Control Message Protocol)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5E2FDA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Протокол керуючих повідомлень Інтернету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36C78D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 xml:space="preserve">Протокол, що використовується як в IPv4, так і в IPv6 (ICMPv6) для надання повідомлень про помилки та для діагностичних цілей (наприклад, команда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color w:val="444746"/>
                <w:kern w:val="0"/>
                <w:sz w:val="28"/>
                <w:szCs w:val="28"/>
                <w:lang w:val="en-US" w:eastAsia="zh-CN" w:bidi="ar"/>
              </w:rPr>
              <w:t>ping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).</w:t>
            </w:r>
          </w:p>
        </w:tc>
      </w:tr>
      <w:tr w14:paraId="5D3A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17" w:hRule="atLeast"/>
        </w:trPr>
        <w:tc>
          <w:tcPr>
            <w:tcW w:w="2421" w:type="dxa"/>
            <w:shd w:val="clear" w:color="auto" w:fill="auto"/>
            <w:vAlign w:val="center"/>
          </w:tcPr>
          <w:p w14:paraId="54B73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Bare-Metal Hypervisor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775674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Гіпервізор типу 1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7C3ED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Програмне забезпечення віртуалізації, яке працює безпосередньо на апаратному забезпеченні (без хостової ОС), забезпечуючи високу продуктивність та безпеку.</w:t>
            </w:r>
          </w:p>
        </w:tc>
      </w:tr>
      <w:tr w14:paraId="72F7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38" w:hRule="atLeast"/>
        </w:trPr>
        <w:tc>
          <w:tcPr>
            <w:tcW w:w="2421" w:type="dxa"/>
            <w:shd w:val="clear" w:color="auto" w:fill="auto"/>
            <w:vAlign w:val="center"/>
          </w:tcPr>
          <w:p w14:paraId="4DE935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Fault Tolerance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7A34F2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Відмовостійкість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0218D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Характеристика мережі, що гарантує безперервну доступність мережевих ресурсів шляхом використання надмірності (резервування), дозволяючи системі швидко переходити на запасний канал/пристрій у разі збою.</w:t>
            </w:r>
          </w:p>
        </w:tc>
      </w:tr>
      <w:tr w14:paraId="617E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17" w:hRule="atLeast"/>
        </w:trPr>
        <w:tc>
          <w:tcPr>
            <w:tcW w:w="2421" w:type="dxa"/>
            <w:shd w:val="clear" w:color="auto" w:fill="auto"/>
            <w:vAlign w:val="center"/>
          </w:tcPr>
          <w:p w14:paraId="5457D1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Public Cloud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71FA7B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Публічна хмара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66A48B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Хмарна інфраструктура, доступна для широкої громадськості, яка належить і керується сторонніми постачальниками (наприклад, AWS, Azure, Google Cloud).</w:t>
            </w:r>
          </w:p>
        </w:tc>
      </w:tr>
      <w:tr w14:paraId="4140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05" w:hRule="atLeast"/>
        </w:trPr>
        <w:tc>
          <w:tcPr>
            <w:tcW w:w="2421" w:type="dxa"/>
            <w:shd w:val="clear" w:color="auto" w:fill="auto"/>
            <w:vAlign w:val="center"/>
          </w:tcPr>
          <w:p w14:paraId="7F8C22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DNS (Domain Name System)</w:t>
            </w:r>
          </w:p>
        </w:tc>
        <w:tc>
          <w:tcPr>
            <w:tcW w:w="2506" w:type="dxa"/>
            <w:shd w:val="clear" w:color="auto" w:fill="auto"/>
            <w:vAlign w:val="center"/>
          </w:tcPr>
          <w:p w14:paraId="6D33DD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Система доменних імен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527C45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leftChars="0" w:right="0" w:rightChars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sz w:val="28"/>
                <w:szCs w:val="28"/>
                <w:lang w:val="uk-UA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 xml:space="preserve">Служба, яка перетворює зрозумілі для людини доменні імена (наприклад,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color w:val="444746"/>
                <w:kern w:val="0"/>
                <w:sz w:val="28"/>
                <w:szCs w:val="28"/>
                <w:lang w:val="en-US" w:eastAsia="zh-CN" w:bidi="ar"/>
              </w:rPr>
              <w:t>google.com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1B1C1D"/>
                <w:kern w:val="0"/>
                <w:sz w:val="28"/>
                <w:szCs w:val="28"/>
                <w:lang w:val="en-US" w:eastAsia="zh-CN" w:bidi="ar"/>
              </w:rPr>
              <w:t>) на відповідні IP-адреси, необхідні для маршрутизації пакетів.</w:t>
            </w:r>
          </w:p>
        </w:tc>
      </w:tr>
    </w:tbl>
    <w:p w14:paraId="259B4E9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0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2025-11-19T20:42:27Z</dcterms:created>
  <dc:creator>Jens</dc:creator>
  <cp:lastModifiedBy>sigma</cp:lastModifiedBy>
  <dcterms:modified xsi:type="dcterms:W3CDTF">2025-11-19T20:48:37Z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6817FEB95EEA4A3F8E64CE6043304EEA_12</vt:lpwstr>
  </property>
</Properties>
</file>