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0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39"/>
        <w:gridCol w:w="2205"/>
        <w:gridCol w:w="6649"/>
      </w:tblGrid>
      <w:tr w14:paraId="08768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8" w:hRule="atLeast"/>
        </w:trPr>
        <w:tc>
          <w:tcPr>
            <w:tcW w:w="2239" w:type="dxa"/>
            <w:shd w:val="clear" w:color="auto" w:fill="auto"/>
            <w:vAlign w:val="center"/>
          </w:tcPr>
          <w:p w14:paraId="7FA00BA1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Style w:val="4"/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Термін англ.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50DC278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Style w:val="4"/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Термін укр.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8FA672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Style w:val="4"/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 xml:space="preserve">Визначення </w:t>
            </w:r>
          </w:p>
        </w:tc>
      </w:tr>
      <w:tr w14:paraId="2E5A3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03" w:hRule="atLeast"/>
        </w:trPr>
        <w:tc>
          <w:tcPr>
            <w:tcW w:w="2239" w:type="dxa"/>
            <w:shd w:val="clear" w:color="auto" w:fill="auto"/>
            <w:vAlign w:val="center"/>
          </w:tcPr>
          <w:p w14:paraId="08CE7B9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Peer-to-Peer (P2P) Network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BD5DCE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Однорангова мережа (P2P)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6372955E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Тип мережі, де пристрої (вузли) працюють як клієнти, так і сервери, забезпечуючи прямий обмін ресурсами без потреби в централізованому сервері. Характеризується меншою вартістю реалізації, легкістю створення та відсутністю централізованого управління.</w:t>
            </w:r>
          </w:p>
        </w:tc>
      </w:tr>
      <w:tr w14:paraId="40E5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43" w:hRule="atLeast"/>
        </w:trPr>
        <w:tc>
          <w:tcPr>
            <w:tcW w:w="2239" w:type="dxa"/>
            <w:shd w:val="clear" w:color="auto" w:fill="auto"/>
            <w:vAlign w:val="center"/>
          </w:tcPr>
          <w:p w14:paraId="6B6A5723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Intermediate Device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5D67AE7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Проміжний пристрій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01BC0A78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Пристрій у мережі (наприклад, маршрутизатор, комутатор), який з'єднує кінцеві пристрої та відповідає за керування потоком даних, регенерацію сигналу та маршрутизацію трафіку між різними мережами.</w:t>
            </w:r>
          </w:p>
        </w:tc>
      </w:tr>
      <w:tr w14:paraId="0C8FC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0" w:hRule="atLeast"/>
        </w:trPr>
        <w:tc>
          <w:tcPr>
            <w:tcW w:w="2239" w:type="dxa"/>
            <w:shd w:val="clear" w:color="auto" w:fill="auto"/>
            <w:vAlign w:val="center"/>
          </w:tcPr>
          <w:p w14:paraId="33371DD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SSID (Service Set Identifier)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FD8DF1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SSID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07F6F810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Ім'я бездротової мережі Wi-Fi. Вимкнення його широкомовної трансляції може допомогти приховати мережу від сусідів, хоча це не є повноцінною заміною шифрування.</w:t>
            </w:r>
          </w:p>
        </w:tc>
      </w:tr>
      <w:tr w14:paraId="2D7EF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6" w:hRule="atLeast"/>
        </w:trPr>
        <w:tc>
          <w:tcPr>
            <w:tcW w:w="2239" w:type="dxa"/>
            <w:shd w:val="clear" w:color="auto" w:fill="auto"/>
            <w:vAlign w:val="center"/>
          </w:tcPr>
          <w:p w14:paraId="6976A9B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NFC (Near Field Communication)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007C57FB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NFC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E08D88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Технологія бездротового зв'язку малого радіусу дії (до 10 см), що дозволяє здійснювати безконтактний обмін даними між пристроями, наприклад, для мобільних платежів.</w:t>
            </w:r>
          </w:p>
        </w:tc>
      </w:tr>
      <w:tr w14:paraId="17BEB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2" w:hRule="atLeast"/>
        </w:trPr>
        <w:tc>
          <w:tcPr>
            <w:tcW w:w="2239" w:type="dxa"/>
            <w:shd w:val="clear" w:color="auto" w:fill="auto"/>
            <w:vAlign w:val="center"/>
          </w:tcPr>
          <w:p w14:paraId="425C329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Tethering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103BB9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Прив'язування</w:t>
            </w: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 xml:space="preserve"> (або </w:t>
            </w: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Тетеринг</w:t>
            </w: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729BE1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Процес, що дозволяє мобільному пристрою (наприклад, смартфону) діяти як бездротовий маршрутизатор або модем для підключення інших пристроїв (наприклад, ноутбука) до Інтернету. Часто реалізується як "Точка доступу".</w:t>
            </w:r>
          </w:p>
        </w:tc>
      </w:tr>
      <w:tr w14:paraId="5B916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4" w:hRule="atLeast"/>
        </w:trPr>
        <w:tc>
          <w:tcPr>
            <w:tcW w:w="2239" w:type="dxa"/>
            <w:shd w:val="clear" w:color="auto" w:fill="auto"/>
            <w:vAlign w:val="center"/>
          </w:tcPr>
          <w:p w14:paraId="5BF424D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Powerline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2FD632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Powerline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CE2E837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Технологія, яка дозволяє передавати мережеві дані через існуючу електричну проводку будівлі за допомогою спеціальних адаптерів, підключених до електричних розеток.</w:t>
            </w:r>
          </w:p>
        </w:tc>
      </w:tr>
      <w:tr w14:paraId="69C43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23" w:hRule="atLeast"/>
        </w:trPr>
        <w:tc>
          <w:tcPr>
            <w:tcW w:w="2239" w:type="dxa"/>
            <w:shd w:val="clear" w:color="auto" w:fill="auto"/>
            <w:vAlign w:val="center"/>
          </w:tcPr>
          <w:p w14:paraId="5D58D42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Encapsulation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C2FC4E7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Інкапсуляція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50BA0B0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>Процес додавання інформації заголовка протоколу до даних на кожному рівні моделі OSI або TCP/IP, що перетворює дані на форму, придатну для передачі, наприклад, розміщення одного формату повідомлення всередині іншого.</w:t>
            </w:r>
          </w:p>
        </w:tc>
      </w:tr>
      <w:tr w14:paraId="3D25B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8" w:hRule="atLeast"/>
        </w:trPr>
        <w:tc>
          <w:tcPr>
            <w:tcW w:w="2239" w:type="dxa"/>
            <w:shd w:val="clear" w:color="auto" w:fill="auto"/>
            <w:vAlign w:val="center"/>
          </w:tcPr>
          <w:p w14:paraId="69C9435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Multicast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B4B6DA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Багатоадресна розсилка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2B29F2D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 xml:space="preserve">Тип передачі даних, при якому один пакет надсилається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color w:val="1B1C1D"/>
                <w:kern w:val="0"/>
                <w:sz w:val="28"/>
                <w:szCs w:val="28"/>
                <w:lang w:val="en-US" w:eastAsia="zh-CN" w:bidi="ar"/>
              </w:rPr>
              <w:t>групі вузлів</w:t>
            </w: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 xml:space="preserve"> одночасно. Використовується, наприклад, маршрутизаторами для обміну інформацією про маршрутизацію.</w:t>
            </w:r>
          </w:p>
        </w:tc>
      </w:tr>
      <w:tr w14:paraId="2E131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86" w:hRule="atLeast"/>
        </w:trPr>
        <w:tc>
          <w:tcPr>
            <w:tcW w:w="2239" w:type="dxa"/>
            <w:shd w:val="clear" w:color="auto" w:fill="auto"/>
            <w:vAlign w:val="center"/>
          </w:tcPr>
          <w:p w14:paraId="3CC6630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Logical Address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469122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Логічна адреса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243F910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 xml:space="preserve">Адреса мережевого рівня (наприклад, IP-адреса) в моделі OSI. Додається на </w:t>
            </w: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мережевому</w:t>
            </w: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 xml:space="preserve"> рівні під час інкапсуляції і використовується для маршрутизації пакетів між різними мережами.</w:t>
            </w:r>
          </w:p>
        </w:tc>
      </w:tr>
      <w:tr w14:paraId="1D1B7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84" w:hRule="atLeast"/>
        </w:trPr>
        <w:tc>
          <w:tcPr>
            <w:tcW w:w="2239" w:type="dxa"/>
            <w:shd w:val="clear" w:color="auto" w:fill="auto"/>
            <w:vAlign w:val="center"/>
          </w:tcPr>
          <w:p w14:paraId="0DBF7AB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Default Gateway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7BD706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Шлюз за замовчуванням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B0283A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leftChars="0" w:right="0" w:rightChars="0"/>
              <w:jc w:val="left"/>
              <w:rPr>
                <w:rFonts w:hint="default" w:ascii="Times New Roman" w:hAnsi="Times New Roman" w:eastAsia="sans-serif" w:cs="Times New Roman"/>
                <w:color w:val="1B1C1D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 xml:space="preserve">Пристрій (зазвичай маршрутизатор), до якого кінцевий пристрій надсилає трафік, призначений для </w:t>
            </w:r>
            <w:r>
              <w:rPr>
                <w:rFonts w:hint="default" w:ascii="Times New Roman" w:hAnsi="Times New Roman" w:eastAsia="sans-serif" w:cs="Times New Roman"/>
                <w:b/>
                <w:bCs/>
                <w:color w:val="1B1C1D"/>
                <w:kern w:val="0"/>
                <w:sz w:val="28"/>
                <w:szCs w:val="28"/>
                <w:lang w:val="en-US" w:eastAsia="zh-CN" w:bidi="ar"/>
              </w:rPr>
              <w:t>віддалених мереж</w:t>
            </w:r>
            <w:r>
              <w:rPr>
                <w:rFonts w:hint="default" w:ascii="Times New Roman" w:hAnsi="Times New Roman" w:eastAsia="sans-serif" w:cs="Times New Roman"/>
                <w:color w:val="1B1C1D"/>
                <w:kern w:val="0"/>
                <w:sz w:val="28"/>
                <w:szCs w:val="28"/>
                <w:lang w:val="en-US" w:eastAsia="zh-CN" w:bidi="ar"/>
              </w:rPr>
              <w:t xml:space="preserve"> (не своєї локальної). Його IP-адреса використовується як параметр шлюзу.</w:t>
            </w:r>
          </w:p>
        </w:tc>
      </w:tr>
    </w:tbl>
    <w:p w14:paraId="08174E07"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4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2025-10-29T17:41:43Z</dcterms:created>
  <dc:creator>Jens</dc:creator>
  <cp:lastModifiedBy>sigma</cp:lastModifiedBy>
  <dcterms:modified xsi:type="dcterms:W3CDTF">2025-10-29T17:44:17Z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15DEE2FDDA964237AEA9507BD12AE6DF_12</vt:lpwstr>
  </property>
</Properties>
</file>