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软件安全-第13章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Q：试简述开源软件与自由软件的联系与区别。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联系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开源软件由自由软件运动发展而来；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两者都倡导软件源代码公开，支持用户使用、学习、修改和分发软件；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共享“软件应为社区所用”的理想主义精神。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核心价值观不同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自由软件</w:t>
      </w:r>
      <w:r>
        <w:rPr>
          <w:rFonts w:eastAsia="等线" w:ascii="Arial" w:cs="Arial" w:hAnsi="Arial"/>
          <w:sz w:val="22"/>
        </w:rPr>
        <w:t>（Free Software）：强调</w:t>
      </w:r>
      <w:r>
        <w:rPr>
          <w:rFonts w:eastAsia="等线" w:ascii="Arial" w:cs="Arial" w:hAnsi="Arial"/>
          <w:b w:val="true"/>
          <w:sz w:val="22"/>
        </w:rPr>
        <w:t>道德与自由</w:t>
      </w:r>
      <w:r>
        <w:rPr>
          <w:rFonts w:eastAsia="等线" w:ascii="Arial" w:cs="Arial" w:hAnsi="Arial"/>
          <w:sz w:val="22"/>
        </w:rPr>
        <w:t xml:space="preserve">，认为用户使用、研究、修改、分享软件是一项基本自由（由理查德·斯托曼提出）；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开源软件</w:t>
      </w:r>
      <w:r>
        <w:rPr>
          <w:rFonts w:eastAsia="等线" w:ascii="Arial" w:cs="Arial" w:hAnsi="Arial"/>
          <w:sz w:val="22"/>
        </w:rPr>
        <w:t>（Open Source Software）：更注重</w:t>
      </w:r>
      <w:r>
        <w:rPr>
          <w:rFonts w:eastAsia="等线" w:ascii="Arial" w:cs="Arial" w:hAnsi="Arial"/>
          <w:b w:val="true"/>
          <w:sz w:val="22"/>
        </w:rPr>
        <w:t>实用性和软件发展</w:t>
      </w:r>
      <w:r>
        <w:rPr>
          <w:rFonts w:eastAsia="等线" w:ascii="Arial" w:cs="Arial" w:hAnsi="Arial"/>
          <w:sz w:val="22"/>
        </w:rPr>
        <w:t xml:space="preserve">，强调通过开放协作提升软件质量与创新，对商业化更友好。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许可证要求不同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所有自由软件都是开源的，但并非所有开源软件都是自由软件；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自由软件通常采用 </w:t>
      </w:r>
      <w:r>
        <w:rPr>
          <w:rFonts w:eastAsia="等线" w:ascii="Arial" w:cs="Arial" w:hAnsi="Arial"/>
          <w:b w:val="true"/>
          <w:sz w:val="22"/>
        </w:rPr>
        <w:t>Copyleft 许可证</w:t>
      </w:r>
      <w:r>
        <w:rPr>
          <w:rFonts w:eastAsia="等线" w:ascii="Arial" w:cs="Arial" w:hAnsi="Arial"/>
          <w:sz w:val="22"/>
        </w:rPr>
        <w:t xml:space="preserve">（如 GPL），要求衍生作品也必须保持自由；  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开源软件可采用宽松许可证（如 MIT、BSD、Apache），允许闭源商用，对衍生作品限制较少。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对商业化的态度不同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自由软件反对以牺牲用户自由为代价的商业行为；  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开源软件积极拥抱产业合作，鼓励企业参与开发与应用。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Q：所开发的软件中使用了带 GPL 许可证的开源软件，那么这个软件是不是就要开源？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A：是的。根据 </w:t>
      </w:r>
      <w:r>
        <w:rPr>
          <w:rFonts w:eastAsia="等线" w:ascii="Arial" w:cs="Arial" w:hAnsi="Arial"/>
          <w:b w:val="true"/>
          <w:sz w:val="22"/>
        </w:rPr>
        <w:t>GNU 通用公共许可证</w:t>
      </w:r>
      <w:r>
        <w:rPr>
          <w:rFonts w:eastAsia="等线" w:ascii="Arial" w:cs="Arial" w:hAnsi="Arial"/>
          <w:sz w:val="22"/>
        </w:rPr>
        <w:t>（GPL），只要在软件中</w:t>
      </w:r>
      <w:r>
        <w:rPr>
          <w:rFonts w:eastAsia="等线" w:ascii="Arial" w:cs="Arial" w:hAnsi="Arial"/>
          <w:b w:val="true"/>
          <w:sz w:val="22"/>
        </w:rPr>
        <w:t>引用、修改或衍生</w:t>
      </w:r>
      <w:r>
        <w:rPr>
          <w:rFonts w:eastAsia="等线" w:ascii="Arial" w:cs="Arial" w:hAnsi="Arial"/>
          <w:sz w:val="22"/>
        </w:rPr>
        <w:t xml:space="preserve">了 GPL 许可的代码（包括动态/静态链接），整个软件就必须以 </w:t>
      </w:r>
      <w:r>
        <w:rPr>
          <w:rFonts w:eastAsia="等线" w:ascii="Arial" w:cs="Arial" w:hAnsi="Arial"/>
          <w:b w:val="true"/>
          <w:sz w:val="22"/>
        </w:rPr>
        <w:t>GPL 许可证发布</w:t>
      </w:r>
      <w:r>
        <w:rPr>
          <w:rFonts w:eastAsia="等线" w:ascii="Arial" w:cs="Arial" w:hAnsi="Arial"/>
          <w:sz w:val="22"/>
        </w:rPr>
        <w:t>，即必须</w:t>
      </w:r>
      <w:r>
        <w:rPr>
          <w:rFonts w:eastAsia="等线" w:ascii="Arial" w:cs="Arial" w:hAnsi="Arial"/>
          <w:b w:val="true"/>
          <w:sz w:val="22"/>
        </w:rPr>
        <w:t>开源且免费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这一特性被称为 </w:t>
      </w:r>
      <w:r>
        <w:rPr>
          <w:rFonts w:eastAsia="等线" w:ascii="Arial" w:cs="Arial" w:hAnsi="Arial"/>
          <w:b w:val="true"/>
          <w:sz w:val="22"/>
        </w:rPr>
        <w:t>“传染性”</w:t>
      </w:r>
      <w:r>
        <w:rPr>
          <w:rFonts w:eastAsia="等线" w:ascii="Arial" w:cs="Arial" w:hAnsi="Arial"/>
          <w:sz w:val="22"/>
        </w:rPr>
        <w:t>（或“Copyleft”），目的是确保自由软件的衍生作品继续保障用户自由，</w:t>
      </w:r>
      <w:r>
        <w:rPr>
          <w:rFonts w:eastAsia="等线" w:ascii="Arial" w:cs="Arial" w:hAnsi="Arial"/>
          <w:b w:val="true"/>
          <w:sz w:val="22"/>
        </w:rPr>
        <w:t>不允许将其转为闭源商业软件</w:t>
      </w:r>
      <w:r>
        <w:rPr>
          <w:rFonts w:eastAsia="等线" w:ascii="Arial" w:cs="Arial" w:hAnsi="Arial"/>
          <w:sz w:val="22"/>
        </w:rPr>
        <w:t>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80063">
    <w:lvl>
      <w:numFmt w:val="bullet"/>
      <w:suff w:val="tab"/>
      <w:lvlText w:val="•"/>
      <w:rPr>
        <w:color w:val="3370ff"/>
      </w:rPr>
    </w:lvl>
  </w:abstractNum>
  <w:abstractNum w:abstractNumId="980064">
    <w:lvl>
      <w:numFmt w:val="bullet"/>
      <w:suff w:val="tab"/>
      <w:lvlText w:val="•"/>
      <w:rPr>
        <w:color w:val="3370ff"/>
      </w:rPr>
    </w:lvl>
  </w:abstractNum>
  <w:abstractNum w:abstractNumId="980065">
    <w:lvl>
      <w:numFmt w:val="bullet"/>
      <w:suff w:val="tab"/>
      <w:lvlText w:val="•"/>
      <w:rPr>
        <w:color w:val="3370ff"/>
      </w:rPr>
    </w:lvl>
  </w:abstractNum>
  <w:abstractNum w:abstractNumId="980066">
    <w:lvl>
      <w:start w:val="1"/>
      <w:numFmt w:val="decimal"/>
      <w:suff w:val="tab"/>
      <w:lvlText w:val="%1."/>
      <w:rPr>
        <w:color w:val="3370ff"/>
      </w:rPr>
    </w:lvl>
  </w:abstractNum>
  <w:abstractNum w:abstractNumId="980067">
    <w:lvl>
      <w:numFmt w:val="bullet"/>
      <w:suff w:val="tab"/>
      <w:lvlText w:val="￮"/>
      <w:rPr>
        <w:color w:val="3370ff"/>
      </w:rPr>
    </w:lvl>
  </w:abstractNum>
  <w:abstractNum w:abstractNumId="980068">
    <w:lvl>
      <w:numFmt w:val="bullet"/>
      <w:suff w:val="tab"/>
      <w:lvlText w:val="￮"/>
      <w:rPr>
        <w:color w:val="3370ff"/>
      </w:rPr>
    </w:lvl>
  </w:abstractNum>
  <w:abstractNum w:abstractNumId="980069">
    <w:lvl>
      <w:start w:val="2"/>
      <w:numFmt w:val="decimal"/>
      <w:suff w:val="tab"/>
      <w:lvlText w:val="%1."/>
      <w:rPr>
        <w:color w:val="3370ff"/>
      </w:rPr>
    </w:lvl>
  </w:abstractNum>
  <w:abstractNum w:abstractNumId="980070">
    <w:lvl>
      <w:numFmt w:val="bullet"/>
      <w:suff w:val="tab"/>
      <w:lvlText w:val="￮"/>
      <w:rPr>
        <w:color w:val="3370ff"/>
      </w:rPr>
    </w:lvl>
  </w:abstractNum>
  <w:abstractNum w:abstractNumId="980071">
    <w:lvl>
      <w:numFmt w:val="bullet"/>
      <w:suff w:val="tab"/>
      <w:lvlText w:val="￮"/>
      <w:rPr>
        <w:color w:val="3370ff"/>
      </w:rPr>
    </w:lvl>
  </w:abstractNum>
  <w:abstractNum w:abstractNumId="980072">
    <w:lvl>
      <w:numFmt w:val="bullet"/>
      <w:suff w:val="tab"/>
      <w:lvlText w:val="￮"/>
      <w:rPr>
        <w:color w:val="3370ff"/>
      </w:rPr>
    </w:lvl>
  </w:abstractNum>
  <w:abstractNum w:abstractNumId="980073">
    <w:lvl>
      <w:start w:val="3"/>
      <w:numFmt w:val="decimal"/>
      <w:suff w:val="tab"/>
      <w:lvlText w:val="%1."/>
      <w:rPr>
        <w:color w:val="3370ff"/>
      </w:rPr>
    </w:lvl>
  </w:abstractNum>
  <w:abstractNum w:abstractNumId="980074">
    <w:lvl>
      <w:numFmt w:val="bullet"/>
      <w:suff w:val="tab"/>
      <w:lvlText w:val="￮"/>
      <w:rPr>
        <w:color w:val="3370ff"/>
      </w:rPr>
    </w:lvl>
  </w:abstractNum>
  <w:abstractNum w:abstractNumId="980075">
    <w:lvl>
      <w:numFmt w:val="bullet"/>
      <w:suff w:val="tab"/>
      <w:lvlText w:val="￮"/>
      <w:rPr>
        <w:color w:val="3370ff"/>
      </w:rPr>
    </w:lvl>
  </w:abstractNum>
  <w:num w:numId="1">
    <w:abstractNumId w:val="980063"/>
  </w:num>
  <w:num w:numId="2">
    <w:abstractNumId w:val="980064"/>
  </w:num>
  <w:num w:numId="3">
    <w:abstractNumId w:val="980065"/>
  </w:num>
  <w:num w:numId="4">
    <w:abstractNumId w:val="980066"/>
  </w:num>
  <w:num w:numId="5">
    <w:abstractNumId w:val="980067"/>
  </w:num>
  <w:num w:numId="6">
    <w:abstractNumId w:val="980068"/>
  </w:num>
  <w:num w:numId="7">
    <w:abstractNumId w:val="980069"/>
  </w:num>
  <w:num w:numId="8">
    <w:abstractNumId w:val="980070"/>
  </w:num>
  <w:num w:numId="9">
    <w:abstractNumId w:val="980071"/>
  </w:num>
  <w:num w:numId="10">
    <w:abstractNumId w:val="980072"/>
  </w:num>
  <w:num w:numId="11">
    <w:abstractNumId w:val="980073"/>
  </w:num>
  <w:num w:numId="12">
    <w:abstractNumId w:val="980074"/>
  </w:num>
  <w:num w:numId="13">
    <w:abstractNumId w:val="9800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2025-12-19T14:28:36Z</dcterms:created>
  <dc:creator>Apache POI</dc:creator>
</cp:coreProperties>
</file>