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Q：程序运行时的内存布局是怎样的？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A：程序运行时的内存通常分为以下几个区域：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栈区（Stack）</w:t>
      </w:r>
      <w:r>
        <w:rPr>
          <w:rFonts w:eastAsia="等线" w:ascii="Arial" w:cs="Arial" w:hAnsi="Arial"/>
          <w:sz w:val="22"/>
        </w:rPr>
        <w:t>：用于存储函数调用时的局部变量、参数、返回地址等，由系统自动管理，向低地址增长。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堆区（Heap）</w:t>
      </w:r>
      <w:r>
        <w:rPr>
          <w:rFonts w:eastAsia="等线" w:ascii="Arial" w:cs="Arial" w:hAnsi="Arial"/>
          <w:sz w:val="22"/>
        </w:rPr>
        <w:t>：用于动态内存分配（如 malloc、new），由程序员管理，向高地址增长；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代码段（Text Segment）</w:t>
      </w:r>
      <w:r>
        <w:rPr>
          <w:rFonts w:eastAsia="等线" w:ascii="Arial" w:cs="Arial" w:hAnsi="Arial"/>
          <w:sz w:val="22"/>
        </w:rPr>
        <w:t xml:space="preserve">：存放程序的可执行指令，只读；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数据段（Data Segment）</w:t>
      </w:r>
      <w:r>
        <w:rPr>
          <w:rFonts w:eastAsia="等线" w:ascii="Arial" w:cs="Arial" w:hAnsi="Arial"/>
          <w:sz w:val="22"/>
        </w:rPr>
        <w:t xml:space="preserve">：存放已初始化的全局变量和静态变量；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Q：什么是缓冲区溢出漏洞？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缓冲区溢出漏洞是指程序在向缓冲区（通常位于栈或堆）写入数据时，未进行边界检查，导致写入的数据超过缓冲区预分配的大小，溢出部分覆盖相邻内存（如返回地址、函数指针等），从而引发程序异常、崩溃，甚至被攻击者利用以执行任意代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Q：简述Windows安全漏洞保护的基本技术及其存在的问题。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A：Windows主要采用以下五种典型保护机制及其局限性：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栈溢出检测（/GS）</w:t>
      </w:r>
      <w:r>
        <w:rPr>
          <w:rFonts w:eastAsia="等线" w:ascii="Arial" w:cs="Arial" w:hAnsi="Arial"/>
          <w:sz w:val="22"/>
        </w:rPr>
        <w:t xml:space="preserve">：在函数栈中插入Cookie值验证。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问题：Cookie可被猜测或覆盖；可通过覆盖SEH或父函数栈数据绕过。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数据执行保护（DEP）</w:t>
      </w:r>
      <w:r>
        <w:rPr>
          <w:rFonts w:eastAsia="等线" w:ascii="Arial" w:cs="Arial" w:hAnsi="Arial"/>
          <w:sz w:val="22"/>
        </w:rPr>
        <w:t xml:space="preserve">：标记数据页不可执行，防止执行栈/堆上的恶意代码。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问题：攻击者可复用已加载模块中的合法代码（ROP攻击），以栈数据作为参数调用系统函数。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地址空间布局随机化（ASLR）</w:t>
      </w:r>
      <w:r>
        <w:rPr>
          <w:rFonts w:eastAsia="等线" w:ascii="Arial" w:cs="Arial" w:hAnsi="Arial"/>
          <w:sz w:val="22"/>
        </w:rPr>
        <w:t xml:space="preserve">：随机化模块加载地址，增加攻击难度。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问题：本地攻击时DLL地址不重随机化；内存碎片增多；未启用/DYNAMICBASE的DLL可被利用。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安全结构化异常处理（SafeSEH）</w:t>
      </w:r>
      <w:r>
        <w:rPr>
          <w:rFonts w:eastAsia="等线" w:ascii="Arial" w:cs="Arial" w:hAnsi="Arial"/>
          <w:sz w:val="22"/>
        </w:rPr>
        <w:t xml:space="preserve">：构建合法SEH函数表，防止异常处理被劫持。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问题：只要进程中存在一个不支持SafeSEH的模块，整个机制可能失效。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增强缓解体验工具包（EMET）</w:t>
      </w:r>
      <w:r>
        <w:rPr>
          <w:rFonts w:eastAsia="等线" w:ascii="Arial" w:cs="Arial" w:hAnsi="Arial"/>
          <w:sz w:val="22"/>
        </w:rPr>
        <w:t xml:space="preserve">：整合并强化DEP、ASLR、SEHOP等防护。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问题：非系统原生组件，影响性能与兼容性，且已停止更新，未跟上Windows发展。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此外，Windows还提供防病毒（如Defender）、防火墙、UAC、SmartScreen、BitLocker等基础安全功能，但仍面临零日攻击、用户安全意识薄弱、内部威胁等挑战。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Q：本章介绍了Windows的5种典型保护机制，但每种机制仍存在缺陷和对抗方法，这说明了什么问题？应如何应对？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A：这说明：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没有绝对完美的安全机制</w:t>
      </w:r>
      <w:r>
        <w:rPr>
          <w:rFonts w:eastAsia="等线" w:ascii="Arial" w:cs="Arial" w:hAnsi="Arial"/>
          <w:sz w:val="22"/>
        </w:rPr>
        <w:t xml:space="preserve">，任何防护都可能被绕过；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安全是动态博弈过程</w:t>
      </w:r>
      <w:r>
        <w:rPr>
          <w:rFonts w:eastAsia="等线" w:ascii="Arial" w:cs="Arial" w:hAnsi="Arial"/>
          <w:sz w:val="22"/>
        </w:rPr>
        <w:t xml:space="preserve">，攻击技术不断演进，防护需持续更新；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单一防御手段不足</w:t>
      </w:r>
      <w:r>
        <w:rPr>
          <w:rFonts w:eastAsia="等线" w:ascii="Arial" w:cs="Arial" w:hAnsi="Arial"/>
          <w:sz w:val="22"/>
        </w:rPr>
        <w:t xml:space="preserve">，依赖某一种技术易被突破。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应对策略包括：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多层次、纵深防御</w:t>
      </w:r>
      <w:r>
        <w:rPr>
          <w:rFonts w:eastAsia="等线" w:ascii="Arial" w:cs="Arial" w:hAnsi="Arial"/>
          <w:sz w:val="22"/>
        </w:rPr>
        <w:t xml:space="preserve">（Defense in Depth）体系；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及时更新系统与补丁</w:t>
      </w:r>
      <w:r>
        <w:rPr>
          <w:rFonts w:eastAsia="等线" w:ascii="Arial" w:cs="Arial" w:hAnsi="Arial"/>
          <w:sz w:val="22"/>
        </w:rPr>
        <w:t xml:space="preserve">，启用最新安全特性；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加强安全开发实践</w:t>
      </w:r>
      <w:r>
        <w:rPr>
          <w:rFonts w:eastAsia="等线" w:ascii="Arial" w:cs="Arial" w:hAnsi="Arial"/>
          <w:sz w:val="22"/>
        </w:rPr>
        <w:t xml:space="preserve">，从源头减少漏洞；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提升用户安全意识</w:t>
      </w:r>
      <w:r>
        <w:rPr>
          <w:rFonts w:eastAsia="等线" w:ascii="Arial" w:cs="Arial" w:hAnsi="Arial"/>
          <w:sz w:val="22"/>
        </w:rPr>
        <w:t xml:space="preserve">，避免社会工程攻击；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部署监控与应急响应机制</w:t>
      </w:r>
      <w:r>
        <w:rPr>
          <w:rFonts w:eastAsia="等线" w:ascii="Arial" w:cs="Arial" w:hAnsi="Arial"/>
          <w:sz w:val="22"/>
        </w:rPr>
        <w:t xml:space="preserve">，快速发现并处置威胁；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定期备份与制定灾难恢复计划</w:t>
      </w:r>
      <w:r>
        <w:rPr>
          <w:rFonts w:eastAsia="等线" w:ascii="Arial" w:cs="Arial" w:hAnsi="Arial"/>
          <w:sz w:val="22"/>
        </w:rPr>
        <w:t>，降低攻击损失。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Q：分析以下代码存在的安全问题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main() {</w:t>
              <w:br/>
              <w:t>char * str1="four";</w:t>
              <w:br/>
              <w:t>char * str2=new char[4]; //not enough space</w:t>
              <w:br/>
              <w:t>char * str3=str2;</w:t>
              <w:br/>
              <w:t>cout&lt;&lt;str2&lt;&lt;endl; //UMR</w:t>
              <w:br/>
              <w:t>strcpy(str2,str1); //ABW</w:t>
              <w:br/>
              <w:t>cout&lt;&lt;str2&lt;&lt;endl; //ABR</w:t>
              <w:br/>
              <w:t>delete str2;</w:t>
              <w:br/>
              <w:t>str2[0]+=2; //FMR and FMW</w:t>
              <w:br/>
              <w:t>delete str3; //FFM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数组越界读或写（Array Bounds Read/Write）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访问未初始化内存（Uninitialized Memory Read）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访问已经释放的内存（Free Memory Read/Write）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重复释放内存或释放非法内存（Free Free Memory）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5365">
    <w:lvl>
      <w:start w:val="1"/>
      <w:numFmt w:val="decimal"/>
      <w:suff w:val="tab"/>
      <w:lvlText w:val="%1."/>
      <w:rPr>
        <w:color w:val="3370ff"/>
      </w:rPr>
    </w:lvl>
  </w:abstractNum>
  <w:abstractNum w:abstractNumId="395366">
    <w:lvl>
      <w:start w:val="2"/>
      <w:numFmt w:val="decimal"/>
      <w:suff w:val="tab"/>
      <w:lvlText w:val="%1."/>
      <w:rPr>
        <w:color w:val="3370ff"/>
      </w:rPr>
    </w:lvl>
  </w:abstractNum>
  <w:abstractNum w:abstractNumId="395367">
    <w:lvl>
      <w:start w:val="3"/>
      <w:numFmt w:val="decimal"/>
      <w:suff w:val="tab"/>
      <w:lvlText w:val="%1."/>
      <w:rPr>
        <w:color w:val="3370ff"/>
      </w:rPr>
    </w:lvl>
  </w:abstractNum>
  <w:abstractNum w:abstractNumId="395368">
    <w:lvl>
      <w:start w:val="4"/>
      <w:numFmt w:val="decimal"/>
      <w:suff w:val="tab"/>
      <w:lvlText w:val="%1."/>
      <w:rPr>
        <w:color w:val="3370ff"/>
      </w:rPr>
    </w:lvl>
  </w:abstractNum>
  <w:abstractNum w:abstractNumId="395369">
    <w:lvl>
      <w:start w:val="1"/>
      <w:numFmt w:val="decimal"/>
      <w:suff w:val="tab"/>
      <w:lvlText w:val="%1."/>
      <w:rPr>
        <w:color w:val="3370ff"/>
      </w:rPr>
    </w:lvl>
  </w:abstractNum>
  <w:abstractNum w:abstractNumId="395370">
    <w:lvl>
      <w:numFmt w:val="bullet"/>
      <w:suff w:val="tab"/>
      <w:lvlText w:val="￮"/>
      <w:rPr>
        <w:color w:val="3370ff"/>
      </w:rPr>
    </w:lvl>
  </w:abstractNum>
  <w:abstractNum w:abstractNumId="395371">
    <w:lvl>
      <w:start w:val="2"/>
      <w:numFmt w:val="decimal"/>
      <w:suff w:val="tab"/>
      <w:lvlText w:val="%1."/>
      <w:rPr>
        <w:color w:val="3370ff"/>
      </w:rPr>
    </w:lvl>
  </w:abstractNum>
  <w:abstractNum w:abstractNumId="395372">
    <w:lvl>
      <w:numFmt w:val="bullet"/>
      <w:suff w:val="tab"/>
      <w:lvlText w:val="￮"/>
      <w:rPr>
        <w:color w:val="3370ff"/>
      </w:rPr>
    </w:lvl>
  </w:abstractNum>
  <w:abstractNum w:abstractNumId="395373">
    <w:lvl>
      <w:start w:val="3"/>
      <w:numFmt w:val="decimal"/>
      <w:suff w:val="tab"/>
      <w:lvlText w:val="%1."/>
      <w:rPr>
        <w:color w:val="3370ff"/>
      </w:rPr>
    </w:lvl>
  </w:abstractNum>
  <w:abstractNum w:abstractNumId="395374">
    <w:lvl>
      <w:numFmt w:val="bullet"/>
      <w:suff w:val="tab"/>
      <w:lvlText w:val="￮"/>
      <w:rPr>
        <w:color w:val="3370ff"/>
      </w:rPr>
    </w:lvl>
  </w:abstractNum>
  <w:abstractNum w:abstractNumId="395375">
    <w:lvl>
      <w:start w:val="4"/>
      <w:numFmt w:val="decimal"/>
      <w:suff w:val="tab"/>
      <w:lvlText w:val="%1."/>
      <w:rPr>
        <w:color w:val="3370ff"/>
      </w:rPr>
    </w:lvl>
  </w:abstractNum>
  <w:abstractNum w:abstractNumId="395376">
    <w:lvl>
      <w:numFmt w:val="bullet"/>
      <w:suff w:val="tab"/>
      <w:lvlText w:val="￮"/>
      <w:rPr>
        <w:color w:val="3370ff"/>
      </w:rPr>
    </w:lvl>
  </w:abstractNum>
  <w:abstractNum w:abstractNumId="395377">
    <w:lvl>
      <w:start w:val="5"/>
      <w:numFmt w:val="decimal"/>
      <w:suff w:val="tab"/>
      <w:lvlText w:val="%1."/>
      <w:rPr>
        <w:color w:val="3370ff"/>
      </w:rPr>
    </w:lvl>
  </w:abstractNum>
  <w:abstractNum w:abstractNumId="395378">
    <w:lvl>
      <w:numFmt w:val="bullet"/>
      <w:suff w:val="tab"/>
      <w:lvlText w:val="￮"/>
      <w:rPr>
        <w:color w:val="3370ff"/>
      </w:rPr>
    </w:lvl>
  </w:abstractNum>
  <w:abstractNum w:abstractNumId="395379">
    <w:lvl>
      <w:start w:val="1"/>
      <w:numFmt w:val="decimal"/>
      <w:suff w:val="tab"/>
      <w:lvlText w:val="%1."/>
      <w:rPr>
        <w:color w:val="3370ff"/>
      </w:rPr>
    </w:lvl>
  </w:abstractNum>
  <w:abstractNum w:abstractNumId="395380">
    <w:lvl>
      <w:start w:val="2"/>
      <w:numFmt w:val="decimal"/>
      <w:suff w:val="tab"/>
      <w:lvlText w:val="%1."/>
      <w:rPr>
        <w:color w:val="3370ff"/>
      </w:rPr>
    </w:lvl>
  </w:abstractNum>
  <w:abstractNum w:abstractNumId="395381">
    <w:lvl>
      <w:start w:val="3"/>
      <w:numFmt w:val="decimal"/>
      <w:suff w:val="tab"/>
      <w:lvlText w:val="%1."/>
      <w:rPr>
        <w:color w:val="3370ff"/>
      </w:rPr>
    </w:lvl>
  </w:abstractNum>
  <w:abstractNum w:abstractNumId="395382">
    <w:lvl>
      <w:numFmt w:val="bullet"/>
      <w:suff w:val="tab"/>
      <w:lvlText w:val="•"/>
      <w:rPr>
        <w:color w:val="3370ff"/>
      </w:rPr>
    </w:lvl>
  </w:abstractNum>
  <w:abstractNum w:abstractNumId="395383">
    <w:lvl>
      <w:numFmt w:val="bullet"/>
      <w:suff w:val="tab"/>
      <w:lvlText w:val="•"/>
      <w:rPr>
        <w:color w:val="3370ff"/>
      </w:rPr>
    </w:lvl>
  </w:abstractNum>
  <w:abstractNum w:abstractNumId="395384">
    <w:lvl>
      <w:numFmt w:val="bullet"/>
      <w:suff w:val="tab"/>
      <w:lvlText w:val="•"/>
      <w:rPr>
        <w:color w:val="3370ff"/>
      </w:rPr>
    </w:lvl>
  </w:abstractNum>
  <w:abstractNum w:abstractNumId="395385">
    <w:lvl>
      <w:numFmt w:val="bullet"/>
      <w:suff w:val="tab"/>
      <w:lvlText w:val="•"/>
      <w:rPr>
        <w:color w:val="3370ff"/>
      </w:rPr>
    </w:lvl>
  </w:abstractNum>
  <w:abstractNum w:abstractNumId="395386">
    <w:lvl>
      <w:numFmt w:val="bullet"/>
      <w:suff w:val="tab"/>
      <w:lvlText w:val="•"/>
      <w:rPr>
        <w:color w:val="3370ff"/>
      </w:rPr>
    </w:lvl>
  </w:abstractNum>
  <w:abstractNum w:abstractNumId="395387">
    <w:lvl>
      <w:numFmt w:val="bullet"/>
      <w:suff w:val="tab"/>
      <w:lvlText w:val="•"/>
      <w:rPr>
        <w:color w:val="3370ff"/>
      </w:rPr>
    </w:lvl>
  </w:abstractNum>
  <w:abstractNum w:abstractNumId="395388">
    <w:lvl>
      <w:start w:val="1"/>
      <w:numFmt w:val="decimal"/>
      <w:suff w:val="tab"/>
      <w:lvlText w:val="%1."/>
      <w:rPr>
        <w:color w:val="3370ff"/>
      </w:rPr>
    </w:lvl>
  </w:abstractNum>
  <w:abstractNum w:abstractNumId="395389">
    <w:lvl>
      <w:start w:val="2"/>
      <w:numFmt w:val="decimal"/>
      <w:suff w:val="tab"/>
      <w:lvlText w:val="%1."/>
      <w:rPr>
        <w:color w:val="3370ff"/>
      </w:rPr>
    </w:lvl>
  </w:abstractNum>
  <w:abstractNum w:abstractNumId="395390">
    <w:lvl>
      <w:start w:val="3"/>
      <w:numFmt w:val="decimal"/>
      <w:suff w:val="tab"/>
      <w:lvlText w:val="%1."/>
      <w:rPr>
        <w:color w:val="3370ff"/>
      </w:rPr>
    </w:lvl>
  </w:abstractNum>
  <w:abstractNum w:abstractNumId="39539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95365"/>
  </w:num>
  <w:num w:numId="2">
    <w:abstractNumId w:val="395366"/>
  </w:num>
  <w:num w:numId="3">
    <w:abstractNumId w:val="395367"/>
  </w:num>
  <w:num w:numId="4">
    <w:abstractNumId w:val="395368"/>
  </w:num>
  <w:num w:numId="5">
    <w:abstractNumId w:val="395369"/>
  </w:num>
  <w:num w:numId="6">
    <w:abstractNumId w:val="395370"/>
  </w:num>
  <w:num w:numId="7">
    <w:abstractNumId w:val="395371"/>
  </w:num>
  <w:num w:numId="8">
    <w:abstractNumId w:val="395372"/>
  </w:num>
  <w:num w:numId="9">
    <w:abstractNumId w:val="395373"/>
  </w:num>
  <w:num w:numId="10">
    <w:abstractNumId w:val="395374"/>
  </w:num>
  <w:num w:numId="11">
    <w:abstractNumId w:val="395375"/>
  </w:num>
  <w:num w:numId="12">
    <w:abstractNumId w:val="395376"/>
  </w:num>
  <w:num w:numId="13">
    <w:abstractNumId w:val="395377"/>
  </w:num>
  <w:num w:numId="14">
    <w:abstractNumId w:val="395378"/>
  </w:num>
  <w:num w:numId="15">
    <w:abstractNumId w:val="395379"/>
  </w:num>
  <w:num w:numId="16">
    <w:abstractNumId w:val="395380"/>
  </w:num>
  <w:num w:numId="17">
    <w:abstractNumId w:val="395381"/>
  </w:num>
  <w:num w:numId="18">
    <w:abstractNumId w:val="395382"/>
  </w:num>
  <w:num w:numId="19">
    <w:abstractNumId w:val="395383"/>
  </w:num>
  <w:num w:numId="20">
    <w:abstractNumId w:val="395384"/>
  </w:num>
  <w:num w:numId="21">
    <w:abstractNumId w:val="395385"/>
  </w:num>
  <w:num w:numId="22">
    <w:abstractNumId w:val="395386"/>
  </w:num>
  <w:num w:numId="23">
    <w:abstractNumId w:val="395387"/>
  </w:num>
  <w:num w:numId="24">
    <w:abstractNumId w:val="395388"/>
  </w:num>
  <w:num w:numId="25">
    <w:abstractNumId w:val="395389"/>
  </w:num>
  <w:num w:numId="26">
    <w:abstractNumId w:val="395390"/>
  </w:num>
  <w:num w:numId="27">
    <w:abstractNumId w:val="3953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2025-12-19T12:42:16Z</dcterms:created>
  <dc:creator>Apache POI</dc:creator>
</cp:coreProperties>
</file>