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A6E4" w14:textId="2A175020" w:rsidR="00214E42" w:rsidRPr="00E55837" w:rsidRDefault="00214E42" w:rsidP="00E55837">
      <w:pPr>
        <w:spacing w:line="360" w:lineRule="auto"/>
        <w:rPr>
          <w:rFonts w:ascii="Arial" w:hAnsi="Arial" w:cs="Arial"/>
          <w:b/>
          <w:sz w:val="40"/>
          <w:lang w:eastAsia="ko-KR"/>
        </w:rPr>
      </w:pPr>
      <w:r>
        <w:rPr>
          <w:rFonts w:ascii="Arial" w:hAnsi="Arial" w:cs="Arial"/>
          <w:b/>
          <w:sz w:val="40"/>
          <w:lang w:eastAsia="ko-KR"/>
        </w:rPr>
        <w:t>Tuning Strategy</w:t>
      </w:r>
    </w:p>
    <w:p w14:paraId="4E689C34" w14:textId="43074E89" w:rsidR="00A37174" w:rsidRPr="00091AA9" w:rsidRDefault="00A37174" w:rsidP="00A37174">
      <w:pPr>
        <w:spacing w:line="480" w:lineRule="auto"/>
        <w:rPr>
          <w:b/>
          <w:lang w:eastAsia="ko-KR"/>
        </w:rPr>
      </w:pPr>
      <w:r>
        <w:rPr>
          <w:b/>
          <w:lang w:eastAsia="ko-KR"/>
        </w:rPr>
        <w:t xml:space="preserve">The procedure to obtain </w:t>
      </w:r>
      <w:r w:rsidR="005C1277">
        <w:rPr>
          <w:b/>
          <w:lang w:eastAsia="ko-KR"/>
        </w:rPr>
        <w:t xml:space="preserve">efficient convergence </w:t>
      </w:r>
      <w:r w:rsidR="00DC5416">
        <w:rPr>
          <w:b/>
          <w:lang w:eastAsia="ko-KR"/>
        </w:rPr>
        <w:t xml:space="preserve">of </w:t>
      </w:r>
      <w:r w:rsidR="005C1277">
        <w:rPr>
          <w:b/>
          <w:lang w:eastAsia="ko-KR"/>
        </w:rPr>
        <w:t xml:space="preserve">the </w:t>
      </w:r>
      <w:r w:rsidR="003F1448">
        <w:rPr>
          <w:b/>
          <w:lang w:eastAsia="ko-KR"/>
        </w:rPr>
        <w:t xml:space="preserve">posterior </w:t>
      </w:r>
      <w:r w:rsidR="00DC5416">
        <w:rPr>
          <w:b/>
          <w:lang w:eastAsia="ko-KR"/>
        </w:rPr>
        <w:t>samples</w:t>
      </w:r>
      <w:r w:rsidR="003F1448">
        <w:rPr>
          <w:b/>
          <w:lang w:eastAsia="ko-KR"/>
        </w:rPr>
        <w:t xml:space="preserve"> </w:t>
      </w:r>
      <w:r w:rsidR="000D2650">
        <w:rPr>
          <w:b/>
          <w:lang w:eastAsia="ko-KR"/>
        </w:rPr>
        <w:t xml:space="preserve">by tuning the </w:t>
      </w:r>
      <w:r w:rsidR="00C7742C">
        <w:rPr>
          <w:b/>
          <w:lang w:eastAsia="ko-KR"/>
        </w:rPr>
        <w:t xml:space="preserve">number of iterations in </w:t>
      </w:r>
      <w:r w:rsidR="00690BE0">
        <w:rPr>
          <w:b/>
          <w:lang w:eastAsia="ko-KR"/>
        </w:rPr>
        <w:t xml:space="preserve">the </w:t>
      </w:r>
      <w:r w:rsidR="00C7742C">
        <w:rPr>
          <w:b/>
          <w:lang w:eastAsia="ko-KR"/>
        </w:rPr>
        <w:t>MCMC algorithm</w:t>
      </w:r>
      <w:r w:rsidR="000D2650">
        <w:rPr>
          <w:b/>
          <w:lang w:eastAsia="ko-KR"/>
        </w:rPr>
        <w:t>.</w:t>
      </w:r>
    </w:p>
    <w:p w14:paraId="1E3D5587" w14:textId="010C5FED" w:rsidR="00A37174" w:rsidRDefault="00F85B5E" w:rsidP="00A37174">
      <w:pPr>
        <w:spacing w:line="480" w:lineRule="auto"/>
        <w:rPr>
          <w:lang w:eastAsia="ko-KR"/>
        </w:rPr>
      </w:pPr>
      <w:r>
        <w:rPr>
          <w:lang w:eastAsia="ko-KR"/>
        </w:rPr>
        <w:t xml:space="preserve">To obtain posterior samples </w:t>
      </w:r>
      <w:r w:rsidR="00A37174">
        <w:rPr>
          <w:lang w:eastAsia="ko-KR"/>
        </w:rPr>
        <w:t xml:space="preserve">with reasonable speed, the </w:t>
      </w:r>
      <w:r w:rsidR="00DC5416">
        <w:rPr>
          <w:rFonts w:hint="eastAsia"/>
          <w:lang w:eastAsia="ko-KR"/>
        </w:rPr>
        <w:t>l</w:t>
      </w:r>
      <w:r w:rsidR="00DC5416">
        <w:rPr>
          <w:lang w:eastAsia="ko-KR"/>
        </w:rPr>
        <w:t xml:space="preserve">ength of the burn-in period, thinning rate, and effective </w:t>
      </w:r>
      <w:r w:rsidR="00A37174">
        <w:rPr>
          <w:lang w:eastAsia="ko-KR"/>
        </w:rPr>
        <w:t xml:space="preserve">iteration number in CMBI might be needed to be tuned as follows </w:t>
      </w:r>
      <w:r w:rsidR="007441E1">
        <w:rPr>
          <w:lang w:eastAsia="ko-KR"/>
        </w:rPr>
        <w:fldChar w:fldCharType="begin"/>
      </w:r>
      <w:r w:rsidR="007441E1">
        <w:rPr>
          <w:lang w:eastAsia="ko-KR"/>
        </w:rPr>
        <w:instrText xml:space="preserve"> ADDIN EN.CITE &lt;EndNote&gt;&lt;Cite&gt;&lt;Author&gt;Gelman&lt;/Author&gt;&lt;Year&gt;2013&lt;/Year&gt;&lt;RecNum&gt;62&lt;/RecNum&gt;&lt;DisplayText&gt;(Gelman et al., 2013)&lt;/DisplayText&gt;&lt;record&gt;&lt;rec-number&gt;62&lt;/rec-number&gt;&lt;foreign-keys&gt;&lt;key app="EN" db-id="55vpafvf2eff22e0a2sxtwf1txw9zfxdwvf5" timestamp="1615876096"&gt;62&lt;/key&gt;&lt;/foreign-keys&gt;&lt;ref-type name="Book"&gt;6&lt;/ref-type&gt;&lt;contributors&gt;&lt;authors&gt;&lt;author&gt;Gelman, Andrew&lt;/author&gt;&lt;author&gt;Carlin, John B&lt;/author&gt;&lt;author&gt;Stern, Hal S&lt;/author&gt;&lt;author&gt;Dunson, David B&lt;/author&gt;&lt;author&gt;Vehtari, Aki&lt;/author&gt;&lt;author&gt;Rubin, Donald B&lt;/author&gt;&lt;/authors&gt;&lt;/contributors&gt;&lt;titles&gt;&lt;title&gt;Bayesian data analysis&lt;/title&gt;&lt;/titles&gt;&lt;dates&gt;&lt;year&gt;2013&lt;/year&gt;&lt;/dates&gt;&lt;publisher&gt;CRC press&lt;/publisher&gt;&lt;isbn&gt;1439840954&lt;/isbn&gt;&lt;urls&gt;&lt;/urls&gt;&lt;/record&gt;&lt;/Cite&gt;&lt;/EndNote&gt;</w:instrText>
      </w:r>
      <w:r w:rsidR="007441E1">
        <w:rPr>
          <w:lang w:eastAsia="ko-KR"/>
        </w:rPr>
        <w:fldChar w:fldCharType="separate"/>
      </w:r>
      <w:r w:rsidR="007441E1">
        <w:rPr>
          <w:noProof/>
          <w:lang w:eastAsia="ko-KR"/>
        </w:rPr>
        <w:t>(Gelman et al., 2013)</w:t>
      </w:r>
      <w:r w:rsidR="007441E1">
        <w:rPr>
          <w:lang w:eastAsia="ko-KR"/>
        </w:rPr>
        <w:fldChar w:fldCharType="end"/>
      </w:r>
      <w:r w:rsidR="00A37174">
        <w:rPr>
          <w:lang w:eastAsia="ko-KR"/>
        </w:rPr>
        <w:t>.</w:t>
      </w:r>
      <w:r w:rsidR="003F1448">
        <w:rPr>
          <w:lang w:eastAsia="ko-KR"/>
        </w:rPr>
        <w:t xml:space="preserve"> These values </w:t>
      </w:r>
      <w:r w:rsidR="00D92A3B">
        <w:rPr>
          <w:lang w:eastAsia="ko-KR"/>
        </w:rPr>
        <w:t>are located</w:t>
      </w:r>
      <w:r w:rsidR="003F1448">
        <w:rPr>
          <w:lang w:eastAsia="ko-KR"/>
        </w:rPr>
        <w:t xml:space="preserve"> in the section named </w:t>
      </w:r>
      <w:r w:rsidR="003F1448" w:rsidRPr="008203B3">
        <w:rPr>
          <w:rFonts w:ascii="Consolas" w:hAnsi="Consolas"/>
          <w:lang w:eastAsia="ko-KR"/>
        </w:rPr>
        <w:t>Iteration numbers</w:t>
      </w:r>
      <w:r w:rsidR="003F1448">
        <w:rPr>
          <w:lang w:eastAsia="ko-KR"/>
        </w:rPr>
        <w:t xml:space="preserve"> in ‘</w:t>
      </w:r>
      <w:proofErr w:type="spellStart"/>
      <w:r w:rsidR="003F1448">
        <w:rPr>
          <w:lang w:eastAsia="ko-KR"/>
        </w:rPr>
        <w:t>MBI_single_cell_main.R</w:t>
      </w:r>
      <w:proofErr w:type="spellEnd"/>
      <w:r w:rsidR="003F1448">
        <w:rPr>
          <w:lang w:eastAsia="ko-KR"/>
        </w:rPr>
        <w:t xml:space="preserve">’ </w:t>
      </w:r>
      <w:r w:rsidR="00F8285E">
        <w:rPr>
          <w:lang w:eastAsia="ko-KR"/>
        </w:rPr>
        <w:t>, ‘</w:t>
      </w:r>
      <w:proofErr w:type="spellStart"/>
      <w:r w:rsidR="00F8285E">
        <w:rPr>
          <w:lang w:eastAsia="ko-KR"/>
        </w:rPr>
        <w:t>MBI_multiple_cells_main.R</w:t>
      </w:r>
      <w:proofErr w:type="spellEnd"/>
      <w:r w:rsidR="00F8285E">
        <w:rPr>
          <w:lang w:eastAsia="ko-KR"/>
        </w:rPr>
        <w:t xml:space="preserve">’, </w:t>
      </w:r>
      <w:r w:rsidR="003F1448">
        <w:rPr>
          <w:lang w:eastAsia="ko-KR"/>
        </w:rPr>
        <w:t>and ‘</w:t>
      </w:r>
      <w:proofErr w:type="spellStart"/>
      <w:r w:rsidR="003F1448">
        <w:rPr>
          <w:lang w:eastAsia="ko-KR"/>
        </w:rPr>
        <w:t>MBI_multiple_cells_</w:t>
      </w:r>
      <w:r w:rsidR="00F8285E">
        <w:rPr>
          <w:lang w:eastAsia="ko-KR"/>
        </w:rPr>
        <w:t>same_n_</w:t>
      </w:r>
      <w:r w:rsidR="003F1448">
        <w:rPr>
          <w:lang w:eastAsia="ko-KR"/>
        </w:rPr>
        <w:t>main.R</w:t>
      </w:r>
      <w:proofErr w:type="spellEnd"/>
      <w:r w:rsidR="003F1448">
        <w:rPr>
          <w:lang w:eastAsia="ko-KR"/>
        </w:rPr>
        <w:t>’</w:t>
      </w:r>
      <w:r w:rsidR="00FD47F6">
        <w:rPr>
          <w:lang w:eastAsia="ko-KR"/>
        </w:rPr>
        <w:t>.</w:t>
      </w:r>
    </w:p>
    <w:p w14:paraId="3206DF54" w14:textId="43FFDFF8" w:rsidR="00A37174" w:rsidRDefault="00A37174" w:rsidP="00092785">
      <w:pPr>
        <w:spacing w:line="480" w:lineRule="auto"/>
        <w:rPr>
          <w:lang w:eastAsia="ko-KR"/>
        </w:rPr>
      </w:pPr>
      <w:r>
        <w:rPr>
          <w:lang w:eastAsia="ko-KR"/>
        </w:rPr>
        <w:t>Step1. A</w:t>
      </w:r>
      <w:r w:rsidRPr="008203B3">
        <w:rPr>
          <w:lang w:eastAsia="ko-KR"/>
        </w:rPr>
        <w:t>djust</w:t>
      </w:r>
      <w:r>
        <w:rPr>
          <w:lang w:eastAsia="ko-KR"/>
        </w:rPr>
        <w:t xml:space="preserve"> </w:t>
      </w:r>
      <w:r w:rsidRPr="008203B3">
        <w:rPr>
          <w:rFonts w:ascii="Consolas" w:hAnsi="Consolas"/>
          <w:lang w:eastAsia="ko-KR"/>
        </w:rPr>
        <w:t>burn</w:t>
      </w:r>
      <w:r>
        <w:rPr>
          <w:lang w:eastAsia="ko-KR"/>
        </w:rPr>
        <w:t xml:space="preserve">, </w:t>
      </w:r>
      <w:r w:rsidR="0055644B">
        <w:rPr>
          <w:lang w:eastAsia="ko-KR"/>
        </w:rPr>
        <w:t xml:space="preserve">which </w:t>
      </w:r>
      <w:r w:rsidRPr="00E55837">
        <w:t>represents</w:t>
      </w:r>
      <w:r>
        <w:rPr>
          <w:lang w:eastAsia="ko-KR"/>
        </w:rPr>
        <w:t xml:space="preserve"> the number of iterations which are discarded to make the left Gibbs samples independent from the initial value. Its default value is 10</w:t>
      </w:r>
      <w:r>
        <w:rPr>
          <w:vertAlign w:val="superscript"/>
          <w:lang w:eastAsia="ko-KR"/>
        </w:rPr>
        <w:t>3</w:t>
      </w:r>
      <w:r>
        <w:rPr>
          <w:lang w:eastAsia="ko-KR"/>
        </w:rPr>
        <w:t xml:space="preserve"> in our </w:t>
      </w:r>
      <w:r w:rsidR="00B42F6A">
        <w:rPr>
          <w:lang w:eastAsia="ko-KR"/>
        </w:rPr>
        <w:t xml:space="preserve">code. The value of </w:t>
      </w:r>
      <w:r w:rsidR="00B42F6A" w:rsidRPr="008203B3">
        <w:rPr>
          <w:rFonts w:ascii="Consolas" w:hAnsi="Consolas"/>
          <w:lang w:eastAsia="ko-KR"/>
        </w:rPr>
        <w:t>burn</w:t>
      </w:r>
      <w:r w:rsidR="00B42F6A">
        <w:rPr>
          <w:lang w:eastAsia="ko-KR"/>
        </w:rPr>
        <w:t xml:space="preserve"> </w:t>
      </w:r>
      <w:r>
        <w:rPr>
          <w:lang w:eastAsia="ko-KR"/>
        </w:rPr>
        <w:t>can be set to a smaller or large</w:t>
      </w:r>
      <w:r w:rsidR="00F85B5E">
        <w:rPr>
          <w:lang w:eastAsia="ko-KR"/>
        </w:rPr>
        <w:t>r</w:t>
      </w:r>
      <w:r>
        <w:rPr>
          <w:lang w:eastAsia="ko-KR"/>
        </w:rPr>
        <w:t xml:space="preserve"> value than</w:t>
      </w:r>
      <w:r w:rsidR="00B42F6A">
        <w:rPr>
          <w:lang w:eastAsia="ko-KR"/>
        </w:rPr>
        <w:t xml:space="preserve"> the default value, </w:t>
      </w:r>
      <w:r>
        <w:rPr>
          <w:lang w:eastAsia="ko-KR"/>
        </w:rPr>
        <w:t>10</w:t>
      </w:r>
      <w:r>
        <w:rPr>
          <w:vertAlign w:val="superscript"/>
          <w:lang w:eastAsia="ko-KR"/>
        </w:rPr>
        <w:t>3</w:t>
      </w:r>
      <w:r w:rsidR="00B42F6A">
        <w:rPr>
          <w:lang w:eastAsia="ko-KR"/>
        </w:rPr>
        <w:t xml:space="preserve">, </w:t>
      </w:r>
      <w:r w:rsidR="00624492">
        <w:rPr>
          <w:lang w:eastAsia="ko-KR"/>
        </w:rPr>
        <w:t>if the drift from the initial value of the parameter</w:t>
      </w:r>
      <w:r w:rsidR="00092785">
        <w:rPr>
          <w:lang w:eastAsia="ko-KR"/>
        </w:rPr>
        <w:t xml:space="preserve"> in the trace plot is finished before or after 10</w:t>
      </w:r>
      <w:r w:rsidR="00092785">
        <w:rPr>
          <w:vertAlign w:val="superscript"/>
          <w:lang w:eastAsia="ko-KR"/>
        </w:rPr>
        <w:t xml:space="preserve">3 </w:t>
      </w:r>
      <w:r w:rsidR="00092785">
        <w:rPr>
          <w:lang w:eastAsia="ko-KR"/>
        </w:rPr>
        <w:t>iterations, respectively.</w:t>
      </w:r>
    </w:p>
    <w:p w14:paraId="4CB277B3" w14:textId="47562EDA" w:rsidR="00A37174" w:rsidRDefault="00A37174" w:rsidP="00A37174">
      <w:pPr>
        <w:spacing w:line="480" w:lineRule="auto"/>
        <w:rPr>
          <w:lang w:eastAsia="ko-KR"/>
        </w:rPr>
      </w:pPr>
      <w:r>
        <w:rPr>
          <w:lang w:eastAsia="ko-KR"/>
        </w:rPr>
        <w:t>Step2. A</w:t>
      </w:r>
      <w:r w:rsidRPr="00D76BED">
        <w:rPr>
          <w:lang w:eastAsia="ko-KR"/>
        </w:rPr>
        <w:t xml:space="preserve">djust </w:t>
      </w:r>
      <w:r w:rsidRPr="00D76BED">
        <w:rPr>
          <w:rFonts w:ascii="Consolas" w:hAnsi="Consolas"/>
          <w:lang w:eastAsia="ko-KR"/>
        </w:rPr>
        <w:t>jump</w:t>
      </w:r>
      <w:r w:rsidRPr="00D76BED">
        <w:rPr>
          <w:lang w:eastAsia="ko-KR"/>
        </w:rPr>
        <w:t xml:space="preserve">, which represents the reciprocal of the thinning rate. </w:t>
      </w:r>
      <w:r>
        <w:rPr>
          <w:lang w:eastAsia="ko-KR"/>
        </w:rPr>
        <w:t xml:space="preserve">Its default value is 10, which means that, </w:t>
      </w:r>
      <w:r w:rsidR="00445332">
        <w:rPr>
          <w:lang w:eastAsia="ko-KR"/>
        </w:rPr>
        <w:t>every 1</w:t>
      </w:r>
      <w:r>
        <w:rPr>
          <w:lang w:eastAsia="ko-KR"/>
        </w:rPr>
        <w:t xml:space="preserve">0 samples, one sample </w:t>
      </w:r>
      <w:r w:rsidR="00445332">
        <w:rPr>
          <w:lang w:eastAsia="ko-KR"/>
        </w:rPr>
        <w:t xml:space="preserve">is selected as a posterior sample </w:t>
      </w:r>
      <w:r>
        <w:rPr>
          <w:lang w:eastAsia="ko-KR"/>
        </w:rPr>
        <w:t xml:space="preserve">and the others are discarded. The value of </w:t>
      </w:r>
      <w:r w:rsidRPr="008203B3">
        <w:rPr>
          <w:rFonts w:ascii="Consolas" w:hAnsi="Consolas"/>
          <w:lang w:eastAsia="ko-KR"/>
        </w:rPr>
        <w:t>jump</w:t>
      </w:r>
      <w:r>
        <w:rPr>
          <w:lang w:eastAsia="ko-KR"/>
        </w:rPr>
        <w:t xml:space="preserve"> can be set to a smaller</w:t>
      </w:r>
      <w:r w:rsidR="00624492">
        <w:rPr>
          <w:lang w:eastAsia="ko-KR"/>
        </w:rPr>
        <w:t xml:space="preserve"> </w:t>
      </w:r>
      <w:r w:rsidR="00624492">
        <w:rPr>
          <w:rFonts w:hint="eastAsia"/>
          <w:lang w:eastAsia="ko-KR"/>
        </w:rPr>
        <w:t xml:space="preserve">or </w:t>
      </w:r>
      <w:r w:rsidR="00624492">
        <w:rPr>
          <w:lang w:eastAsia="ko-KR"/>
        </w:rPr>
        <w:t>large</w:t>
      </w:r>
      <w:r w:rsidR="00F85B5E">
        <w:rPr>
          <w:lang w:eastAsia="ko-KR"/>
        </w:rPr>
        <w:t xml:space="preserve">r </w:t>
      </w:r>
      <w:r>
        <w:rPr>
          <w:lang w:eastAsia="ko-KR"/>
        </w:rPr>
        <w:t>value than</w:t>
      </w:r>
      <w:r w:rsidR="00B42F6A">
        <w:rPr>
          <w:lang w:eastAsia="ko-KR"/>
        </w:rPr>
        <w:t xml:space="preserve"> the default value,</w:t>
      </w:r>
      <w:r>
        <w:rPr>
          <w:lang w:eastAsia="ko-KR"/>
        </w:rPr>
        <w:t xml:space="preserve"> 10</w:t>
      </w:r>
      <w:r w:rsidR="00B42F6A">
        <w:rPr>
          <w:lang w:eastAsia="ko-KR"/>
        </w:rPr>
        <w:t xml:space="preserve">, </w:t>
      </w:r>
      <w:r w:rsidR="00624492">
        <w:rPr>
          <w:lang w:eastAsia="ko-KR"/>
        </w:rPr>
        <w:t xml:space="preserve">if </w:t>
      </w:r>
      <w:r>
        <w:rPr>
          <w:lang w:eastAsia="ko-KR"/>
        </w:rPr>
        <w:t>the autocorrelation of the remaining samples drops to zero within</w:t>
      </w:r>
      <w:r w:rsidR="00624492">
        <w:rPr>
          <w:lang w:eastAsia="ko-KR"/>
        </w:rPr>
        <w:t xml:space="preserve"> </w:t>
      </w:r>
      <w:r>
        <w:rPr>
          <w:lang w:eastAsia="ko-KR"/>
        </w:rPr>
        <w:t>10 lags</w:t>
      </w:r>
      <w:r w:rsidR="00624492">
        <w:rPr>
          <w:lang w:eastAsia="ko-KR"/>
        </w:rPr>
        <w:t xml:space="preserve"> or beyond 10 lags, respectively</w:t>
      </w:r>
      <w:r>
        <w:rPr>
          <w:lang w:eastAsia="ko-KR"/>
        </w:rPr>
        <w:t>.</w:t>
      </w:r>
    </w:p>
    <w:p w14:paraId="75A6F43A" w14:textId="1F16EFCC" w:rsidR="00624492" w:rsidRPr="00B42F6A" w:rsidRDefault="00A37174" w:rsidP="00F85B5E">
      <w:pPr>
        <w:spacing w:line="480" w:lineRule="auto"/>
        <w:rPr>
          <w:lang w:eastAsia="ko-KR"/>
        </w:rPr>
      </w:pPr>
      <w:r>
        <w:rPr>
          <w:lang w:eastAsia="ko-KR"/>
        </w:rPr>
        <w:t xml:space="preserve">Step3. Adjust </w:t>
      </w:r>
      <w:proofErr w:type="spellStart"/>
      <w:r w:rsidRPr="00572109">
        <w:rPr>
          <w:rFonts w:ascii="Consolas" w:hAnsi="Consolas"/>
          <w:lang w:eastAsia="ko-KR"/>
        </w:rPr>
        <w:t>effnum</w:t>
      </w:r>
      <w:proofErr w:type="spellEnd"/>
      <w:r>
        <w:rPr>
          <w:lang w:eastAsia="ko-KR"/>
        </w:rPr>
        <w:t>, which represents the number of posterior samples that are given as outputs of the code</w:t>
      </w:r>
      <w:r w:rsidR="00F85B5E">
        <w:rPr>
          <w:lang w:eastAsia="ko-KR"/>
        </w:rPr>
        <w:t>s</w:t>
      </w:r>
      <w:r>
        <w:rPr>
          <w:lang w:eastAsia="ko-KR"/>
        </w:rPr>
        <w:t>. Its default value is 10</w:t>
      </w:r>
      <w:r>
        <w:rPr>
          <w:vertAlign w:val="superscript"/>
          <w:lang w:eastAsia="ko-KR"/>
        </w:rPr>
        <w:t>3</w:t>
      </w:r>
      <w:r w:rsidR="00B42F6A">
        <w:rPr>
          <w:lang w:eastAsia="ko-KR"/>
        </w:rPr>
        <w:t xml:space="preserve">. The value of </w:t>
      </w:r>
      <w:proofErr w:type="spellStart"/>
      <w:r w:rsidR="00B42F6A" w:rsidRPr="00572109">
        <w:rPr>
          <w:rFonts w:ascii="Consolas" w:hAnsi="Consolas"/>
          <w:lang w:eastAsia="ko-KR"/>
        </w:rPr>
        <w:t>effnum</w:t>
      </w:r>
      <w:proofErr w:type="spellEnd"/>
      <w:r>
        <w:rPr>
          <w:lang w:eastAsia="ko-KR"/>
        </w:rPr>
        <w:t xml:space="preserve"> can set to be a smaller</w:t>
      </w:r>
      <w:r w:rsidR="00624492">
        <w:rPr>
          <w:lang w:eastAsia="ko-KR"/>
        </w:rPr>
        <w:t xml:space="preserve"> </w:t>
      </w:r>
      <w:r>
        <w:rPr>
          <w:lang w:eastAsia="ko-KR"/>
        </w:rPr>
        <w:t>value than</w:t>
      </w:r>
      <w:r w:rsidR="00F85B5E">
        <w:rPr>
          <w:lang w:eastAsia="ko-KR"/>
        </w:rPr>
        <w:t xml:space="preserve"> the default value,</w:t>
      </w:r>
      <w:r>
        <w:rPr>
          <w:lang w:eastAsia="ko-KR"/>
        </w:rPr>
        <w:t xml:space="preserve"> 10</w:t>
      </w:r>
      <w:r w:rsidR="00B42F6A">
        <w:rPr>
          <w:vertAlign w:val="superscript"/>
          <w:lang w:eastAsia="ko-KR"/>
        </w:rPr>
        <w:t>3</w:t>
      </w:r>
      <w:r w:rsidR="00F85B5E">
        <w:rPr>
          <w:lang w:eastAsia="ko-KR"/>
        </w:rPr>
        <w:t xml:space="preserve">, </w:t>
      </w:r>
      <w:r w:rsidR="00B42F6A">
        <w:rPr>
          <w:lang w:eastAsia="ko-KR"/>
        </w:rPr>
        <w:t xml:space="preserve">if the </w:t>
      </w:r>
      <w:r w:rsidR="00F85B5E">
        <w:rPr>
          <w:lang w:eastAsia="ko-KR"/>
        </w:rPr>
        <w:t xml:space="preserve">histogram of </w:t>
      </w:r>
      <w:r w:rsidR="00B42F6A">
        <w:rPr>
          <w:lang w:eastAsia="ko-KR"/>
        </w:rPr>
        <w:t>10</w:t>
      </w:r>
      <w:r w:rsidR="00B42F6A">
        <w:rPr>
          <w:vertAlign w:val="superscript"/>
          <w:lang w:eastAsia="ko-KR"/>
        </w:rPr>
        <w:t>3</w:t>
      </w:r>
      <w:r w:rsidR="00F85B5E">
        <w:rPr>
          <w:lang w:eastAsia="ko-KR"/>
        </w:rPr>
        <w:t xml:space="preserve"> posterior samples is the same to that of &lt; 10</w:t>
      </w:r>
      <w:r w:rsidR="00F85B5E">
        <w:rPr>
          <w:vertAlign w:val="superscript"/>
          <w:lang w:eastAsia="ko-KR"/>
        </w:rPr>
        <w:t>3</w:t>
      </w:r>
      <w:r w:rsidR="00F85B5E">
        <w:rPr>
          <w:lang w:eastAsia="ko-KR"/>
        </w:rPr>
        <w:t xml:space="preserve"> posterior samples. On the other hand, the value can set to be a larger value if the histogram of 10</w:t>
      </w:r>
      <w:r w:rsidR="00F85B5E">
        <w:rPr>
          <w:vertAlign w:val="superscript"/>
          <w:lang w:eastAsia="ko-KR"/>
        </w:rPr>
        <w:t>3</w:t>
      </w:r>
      <w:r w:rsidR="00F85B5E">
        <w:rPr>
          <w:lang w:eastAsia="ko-KR"/>
        </w:rPr>
        <w:t xml:space="preserve"> posterior samples is different </w:t>
      </w:r>
      <w:r w:rsidR="007A3B6B">
        <w:rPr>
          <w:lang w:eastAsia="ko-KR"/>
        </w:rPr>
        <w:t xml:space="preserve">with that of </w:t>
      </w:r>
      <w:r w:rsidR="00F85B5E">
        <w:rPr>
          <w:lang w:eastAsia="ko-KR"/>
        </w:rPr>
        <w:t>&gt;</w:t>
      </w:r>
      <w:r w:rsidR="007A3B6B">
        <w:rPr>
          <w:lang w:eastAsia="ko-KR"/>
        </w:rPr>
        <w:t xml:space="preserve"> </w:t>
      </w:r>
      <w:r w:rsidR="00F85B5E">
        <w:rPr>
          <w:lang w:eastAsia="ko-KR"/>
        </w:rPr>
        <w:t>10</w:t>
      </w:r>
      <w:r w:rsidR="00F85B5E">
        <w:rPr>
          <w:vertAlign w:val="superscript"/>
          <w:lang w:eastAsia="ko-KR"/>
        </w:rPr>
        <w:t>3</w:t>
      </w:r>
      <w:r w:rsidR="00F85B5E">
        <w:rPr>
          <w:lang w:eastAsia="ko-KR"/>
        </w:rPr>
        <w:t xml:space="preserve"> posterior samples.</w:t>
      </w:r>
    </w:p>
    <w:p w14:paraId="5713C036" w14:textId="77777777" w:rsidR="00A37174" w:rsidRPr="007A3B6B" w:rsidRDefault="00A37174" w:rsidP="00A37174">
      <w:pPr>
        <w:spacing w:line="480" w:lineRule="auto"/>
        <w:rPr>
          <w:lang w:eastAsia="ko-KR"/>
        </w:rPr>
      </w:pPr>
    </w:p>
    <w:p w14:paraId="2BC1C444" w14:textId="3EB186CB" w:rsidR="005C1277" w:rsidRPr="008203B3" w:rsidRDefault="00091AA9" w:rsidP="00C7742C">
      <w:pPr>
        <w:spacing w:line="480" w:lineRule="auto"/>
        <w:rPr>
          <w:b/>
          <w:lang w:eastAsia="ko-KR"/>
        </w:rPr>
      </w:pPr>
      <w:r>
        <w:rPr>
          <w:b/>
          <w:lang w:eastAsia="ko-KR"/>
        </w:rPr>
        <w:lastRenderedPageBreak/>
        <w:t xml:space="preserve">The procedure to obtain efficient convergence of the posterior samples </w:t>
      </w:r>
      <w:r w:rsidR="005C1277">
        <w:rPr>
          <w:b/>
          <w:lang w:eastAsia="ko-KR"/>
        </w:rPr>
        <w:t>by tuning the variances of the proposal distributions</w:t>
      </w:r>
      <w:r w:rsidR="00C7742C">
        <w:rPr>
          <w:b/>
          <w:lang w:eastAsia="ko-KR"/>
        </w:rPr>
        <w:t xml:space="preserve"> for the Metropolis-Hastings algorithm</w:t>
      </w:r>
      <w:r w:rsidR="005C1277">
        <w:rPr>
          <w:b/>
          <w:lang w:eastAsia="ko-KR"/>
        </w:rPr>
        <w:t>.</w:t>
      </w:r>
    </w:p>
    <w:p w14:paraId="439326B7" w14:textId="7082C331" w:rsidR="00A37174" w:rsidRDefault="00A37174" w:rsidP="005C1277">
      <w:pPr>
        <w:spacing w:line="480" w:lineRule="auto"/>
        <w:rPr>
          <w:lang w:eastAsia="ko-KR"/>
        </w:rPr>
      </w:pPr>
      <w:r>
        <w:rPr>
          <w:lang w:eastAsia="ko-KR"/>
        </w:rPr>
        <w:t xml:space="preserve">As well as tuning the iteration number, the variance of the proposal distributions in the section named </w:t>
      </w:r>
      <w:r w:rsidRPr="008203B3">
        <w:rPr>
          <w:rFonts w:ascii="Consolas" w:hAnsi="Consolas"/>
          <w:lang w:eastAsia="ko-KR"/>
        </w:rPr>
        <w:t>Proposal</w:t>
      </w:r>
      <w:r>
        <w:rPr>
          <w:rFonts w:ascii="Consolas" w:hAnsi="Consolas"/>
          <w:lang w:eastAsia="ko-KR"/>
        </w:rPr>
        <w:t xml:space="preserve"> </w:t>
      </w:r>
      <w:r w:rsidRPr="008203B3">
        <w:rPr>
          <w:rFonts w:ascii="Consolas" w:hAnsi="Consolas"/>
          <w:lang w:eastAsia="ko-KR"/>
        </w:rPr>
        <w:t>variances</w:t>
      </w:r>
      <w:r>
        <w:rPr>
          <w:lang w:eastAsia="ko-KR"/>
        </w:rPr>
        <w:t xml:space="preserve"> might be needed to be tuned. Specifically, users need to adjust the variance to achieve the reasonable acceptance rate between 0.</w:t>
      </w:r>
      <w:r w:rsidR="00091AA9">
        <w:rPr>
          <w:lang w:eastAsia="ko-KR"/>
        </w:rPr>
        <w:t xml:space="preserve">2 </w:t>
      </w:r>
      <w:r>
        <w:rPr>
          <w:lang w:eastAsia="ko-KR"/>
        </w:rPr>
        <w:t>and 0.</w:t>
      </w:r>
      <w:r w:rsidR="00091AA9">
        <w:rPr>
          <w:lang w:eastAsia="ko-KR"/>
        </w:rPr>
        <w:t xml:space="preserve">5 </w:t>
      </w:r>
      <w:r w:rsidR="007441E1">
        <w:rPr>
          <w:lang w:eastAsia="ko-KR"/>
        </w:rPr>
        <w:fldChar w:fldCharType="begin"/>
      </w:r>
      <w:r w:rsidR="007441E1">
        <w:rPr>
          <w:lang w:eastAsia="ko-KR"/>
        </w:rPr>
        <w:instrText xml:space="preserve"> ADDIN EN.CITE &lt;EndNote&gt;&lt;Cite&gt;&lt;Author&gt;Gelman&lt;/Author&gt;&lt;Year&gt;2013&lt;/Year&gt;&lt;RecNum&gt;62&lt;/RecNum&gt;&lt;DisplayText&gt;(Gelman et al., 2013)&lt;/DisplayText&gt;&lt;record&gt;&lt;rec-number&gt;62&lt;/rec-number&gt;&lt;foreign-keys&gt;&lt;key app="EN" db-id="55vpafvf2eff22e0a2sxtwf1txw9zfxdwvf5" timestamp="1615876096"&gt;62&lt;/key&gt;&lt;/foreign-keys&gt;&lt;ref-type name="Book"&gt;6&lt;/ref-type&gt;&lt;contributors&gt;&lt;authors&gt;&lt;author&gt;Gelman, Andrew&lt;/author&gt;&lt;author&gt;Carlin, John B&lt;/author&gt;&lt;author&gt;Stern, Hal S&lt;/author&gt;&lt;author&gt;Dunson, David B&lt;/author&gt;&lt;author&gt;Vehtari, Aki&lt;/author&gt;&lt;author&gt;Rubin, Donald B&lt;/author&gt;&lt;/authors&gt;&lt;/contributors&gt;&lt;titles&gt;&lt;title&gt;Bayesian data analysis&lt;/title&gt;&lt;/titles&gt;&lt;dates&gt;&lt;year&gt;2013&lt;/year&gt;&lt;/dates&gt;&lt;publisher&gt;CRC press&lt;/publisher&gt;&lt;isbn&gt;1439840954&lt;/isbn&gt;&lt;urls&gt;&lt;/urls&gt;&lt;/record&gt;&lt;/Cite&gt;&lt;/EndNote&gt;</w:instrText>
      </w:r>
      <w:r w:rsidR="007441E1">
        <w:rPr>
          <w:lang w:eastAsia="ko-KR"/>
        </w:rPr>
        <w:fldChar w:fldCharType="separate"/>
      </w:r>
      <w:r w:rsidR="007441E1">
        <w:rPr>
          <w:noProof/>
          <w:lang w:eastAsia="ko-KR"/>
        </w:rPr>
        <w:t>(Gelman et al., 2013)</w:t>
      </w:r>
      <w:r w:rsidR="007441E1">
        <w:rPr>
          <w:lang w:eastAsia="ko-KR"/>
        </w:rPr>
        <w:fldChar w:fldCharType="end"/>
      </w:r>
      <w:r>
        <w:rPr>
          <w:lang w:eastAsia="ko-KR"/>
        </w:rPr>
        <w:t xml:space="preserve">. For this, users need to increase the variance if the </w:t>
      </w:r>
      <w:r w:rsidRPr="00F952AE">
        <w:rPr>
          <w:lang w:eastAsia="ko-KR"/>
        </w:rPr>
        <w:t>acceptance rate</w:t>
      </w:r>
      <w:r>
        <w:rPr>
          <w:lang w:eastAsia="ko-KR"/>
        </w:rPr>
        <w:t xml:space="preserve"> is &gt;</w:t>
      </w:r>
      <w:r w:rsidR="00092785">
        <w:rPr>
          <w:lang w:eastAsia="ko-KR"/>
        </w:rPr>
        <w:t xml:space="preserve"> </w:t>
      </w:r>
      <w:r>
        <w:rPr>
          <w:lang w:eastAsia="ko-KR"/>
        </w:rPr>
        <w:t>0.5. On the other hand, if the acceptance rate is &lt;</w:t>
      </w:r>
      <w:r w:rsidR="00092785">
        <w:rPr>
          <w:lang w:eastAsia="ko-KR"/>
        </w:rPr>
        <w:t xml:space="preserve"> </w:t>
      </w:r>
      <w:r>
        <w:rPr>
          <w:lang w:eastAsia="ko-KR"/>
        </w:rPr>
        <w:t>0.</w:t>
      </w:r>
      <w:r w:rsidR="00091AA9">
        <w:rPr>
          <w:lang w:eastAsia="ko-KR"/>
        </w:rPr>
        <w:t>2</w:t>
      </w:r>
      <w:r>
        <w:rPr>
          <w:lang w:eastAsia="ko-KR"/>
        </w:rPr>
        <w:t>, users need to decrease the variance. Users can adjust the variance by quickly checking the acceptance rate with the current variance through running only few iterations (~10</w:t>
      </w:r>
      <w:r>
        <w:rPr>
          <w:vertAlign w:val="superscript"/>
          <w:lang w:eastAsia="ko-KR"/>
        </w:rPr>
        <w:t>2</w:t>
      </w:r>
      <w:r>
        <w:rPr>
          <w:lang w:eastAsia="ko-KR"/>
        </w:rPr>
        <w:t xml:space="preserve">) without </w:t>
      </w:r>
      <w:r w:rsidR="00F20BB8">
        <w:rPr>
          <w:lang w:eastAsia="ko-KR"/>
        </w:rPr>
        <w:t xml:space="preserve">the </w:t>
      </w:r>
      <w:r>
        <w:rPr>
          <w:lang w:eastAsia="ko-KR"/>
        </w:rPr>
        <w:t xml:space="preserve">burn-in </w:t>
      </w:r>
      <w:r w:rsidR="00F20BB8">
        <w:rPr>
          <w:rFonts w:hint="eastAsia"/>
          <w:lang w:eastAsia="ko-KR"/>
        </w:rPr>
        <w:t>p</w:t>
      </w:r>
      <w:r w:rsidR="00F20BB8">
        <w:rPr>
          <w:lang w:eastAsia="ko-KR"/>
        </w:rPr>
        <w:t xml:space="preserve">eriod </w:t>
      </w:r>
      <w:r>
        <w:rPr>
          <w:lang w:eastAsia="ko-KR"/>
        </w:rPr>
        <w:t xml:space="preserve">and thinning (i.e., </w:t>
      </w:r>
      <w:r>
        <w:rPr>
          <w:rFonts w:ascii="Consolas" w:hAnsi="Consolas"/>
          <w:lang w:eastAsia="ko-KR"/>
        </w:rPr>
        <w:t>b</w:t>
      </w:r>
      <w:r w:rsidRPr="008203B3">
        <w:rPr>
          <w:rFonts w:ascii="Consolas" w:hAnsi="Consolas"/>
          <w:lang w:eastAsia="ko-KR"/>
        </w:rPr>
        <w:t>urn</w:t>
      </w:r>
      <w:r>
        <w:rPr>
          <w:lang w:eastAsia="ko-KR"/>
        </w:rPr>
        <w:t xml:space="preserve">=0 and </w:t>
      </w:r>
      <w:r w:rsidRPr="008203B3">
        <w:rPr>
          <w:rFonts w:ascii="Consolas" w:hAnsi="Consolas"/>
          <w:lang w:eastAsia="ko-KR"/>
        </w:rPr>
        <w:t>jump</w:t>
      </w:r>
      <w:r>
        <w:rPr>
          <w:lang w:eastAsia="ko-KR"/>
        </w:rPr>
        <w:t>=1).</w:t>
      </w:r>
    </w:p>
    <w:p w14:paraId="7F41154A" w14:textId="33529BE9" w:rsidR="00A37174" w:rsidRDefault="00092785" w:rsidP="00A37174">
      <w:pPr>
        <w:spacing w:line="480" w:lineRule="auto"/>
        <w:ind w:firstLine="800"/>
        <w:rPr>
          <w:lang w:eastAsia="ko-KR"/>
        </w:rPr>
      </w:pPr>
      <w:r>
        <w:rPr>
          <w:lang w:eastAsia="ko-KR"/>
        </w:rPr>
        <w:t>In ‘</w:t>
      </w:r>
      <w:proofErr w:type="spellStart"/>
      <w:r>
        <w:rPr>
          <w:lang w:eastAsia="ko-KR"/>
        </w:rPr>
        <w:t>MBI_</w:t>
      </w:r>
      <w:r w:rsidR="00553E2C">
        <w:rPr>
          <w:lang w:eastAsia="ko-KR"/>
        </w:rPr>
        <w:t>single_cell_</w:t>
      </w:r>
      <w:proofErr w:type="gramStart"/>
      <w:r>
        <w:rPr>
          <w:lang w:eastAsia="ko-KR"/>
        </w:rPr>
        <w:t>main.R</w:t>
      </w:r>
      <w:proofErr w:type="spellEnd"/>
      <w:proofErr w:type="gramEnd"/>
      <w:r>
        <w:rPr>
          <w:lang w:eastAsia="ko-KR"/>
        </w:rPr>
        <w:t>’</w:t>
      </w:r>
      <w:r w:rsidR="00A37174">
        <w:rPr>
          <w:lang w:eastAsia="ko-KR"/>
        </w:rPr>
        <w:t xml:space="preserve">, there are three variables </w:t>
      </w:r>
      <w:proofErr w:type="spellStart"/>
      <w:r w:rsidR="00A37174" w:rsidRPr="00572109">
        <w:rPr>
          <w:rFonts w:ascii="Consolas" w:hAnsi="Consolas"/>
          <w:lang w:eastAsia="ko-KR"/>
        </w:rPr>
        <w:t>AR_death</w:t>
      </w:r>
      <w:proofErr w:type="spellEnd"/>
      <w:r w:rsidR="00A37174">
        <w:rPr>
          <w:lang w:eastAsia="ko-KR"/>
        </w:rPr>
        <w:t xml:space="preserve">, </w:t>
      </w:r>
      <w:proofErr w:type="spellStart"/>
      <w:r w:rsidR="00A37174" w:rsidRPr="00572109">
        <w:rPr>
          <w:rFonts w:ascii="Consolas" w:hAnsi="Consolas"/>
          <w:lang w:eastAsia="ko-KR"/>
        </w:rPr>
        <w:t>AR_</w:t>
      </w:r>
      <w:r w:rsidR="00FB3DB4">
        <w:rPr>
          <w:rFonts w:ascii="Consolas" w:hAnsi="Consolas"/>
          <w:lang w:eastAsia="ko-KR"/>
        </w:rPr>
        <w:t>n</w:t>
      </w:r>
      <w:proofErr w:type="spellEnd"/>
      <w:r w:rsidR="00A37174">
        <w:rPr>
          <w:lang w:eastAsia="ko-KR"/>
        </w:rPr>
        <w:t xml:space="preserve">, and </w:t>
      </w:r>
      <w:proofErr w:type="spellStart"/>
      <w:r w:rsidR="00A37174" w:rsidRPr="00572109">
        <w:rPr>
          <w:rFonts w:ascii="Consolas" w:hAnsi="Consolas"/>
          <w:lang w:eastAsia="ko-KR"/>
        </w:rPr>
        <w:t>AR_</w:t>
      </w:r>
      <w:r w:rsidR="004713FC">
        <w:rPr>
          <w:rFonts w:ascii="Consolas" w:hAnsi="Consolas"/>
          <w:lang w:eastAsia="ko-KR"/>
        </w:rPr>
        <w:t>tr</w:t>
      </w:r>
      <w:proofErr w:type="spellEnd"/>
      <w:r w:rsidR="004713FC">
        <w:rPr>
          <w:lang w:eastAsia="ko-KR"/>
        </w:rPr>
        <w:t xml:space="preserve"> </w:t>
      </w:r>
      <w:r w:rsidR="00A37174">
        <w:rPr>
          <w:lang w:eastAsia="ko-KR"/>
        </w:rPr>
        <w:t xml:space="preserve">representing the acceptance rates of the posterior samples of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, n,</m:t>
        </m:r>
      </m:oMath>
      <w:r w:rsidR="00A37174">
        <w:rPr>
          <w:rFonts w:hint="eastAsia"/>
          <w:lang w:eastAsia="ko-KR"/>
        </w:rPr>
        <w:t xml:space="preserve"> </w:t>
      </w:r>
      <w:r w:rsidR="00A37174">
        <w:rPr>
          <w:lang w:eastAsia="ko-KR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r</m:t>
            </m:r>
          </m:sub>
        </m:sSub>
      </m:oMath>
      <w:r w:rsidR="00A37174">
        <w:rPr>
          <w:rFonts w:hint="eastAsia"/>
          <w:lang w:eastAsia="ko-KR"/>
        </w:rPr>
        <w:t>,</w:t>
      </w:r>
      <w:r w:rsidR="00A37174">
        <w:rPr>
          <w:lang w:eastAsia="ko-KR"/>
        </w:rPr>
        <w:t xml:space="preserve"> respectively. After checking these variables, users may need to adjust </w:t>
      </w:r>
      <w:proofErr w:type="spellStart"/>
      <w:r w:rsidR="00A37174" w:rsidRPr="00572109">
        <w:rPr>
          <w:rFonts w:ascii="Consolas" w:hAnsi="Consolas"/>
          <w:lang w:eastAsia="ko-KR"/>
        </w:rPr>
        <w:t>prop_var_death</w:t>
      </w:r>
      <w:proofErr w:type="spellEnd"/>
      <w:r w:rsidR="00A37174">
        <w:rPr>
          <w:lang w:eastAsia="ko-KR"/>
        </w:rPr>
        <w:t xml:space="preserve">, </w:t>
      </w:r>
      <w:proofErr w:type="spellStart"/>
      <w:r w:rsidR="00A37174" w:rsidRPr="00572109">
        <w:rPr>
          <w:rFonts w:ascii="Consolas" w:hAnsi="Consolas"/>
          <w:lang w:eastAsia="ko-KR"/>
        </w:rPr>
        <w:t>prop_var_</w:t>
      </w:r>
      <w:r w:rsidR="00FB3DB4">
        <w:rPr>
          <w:rFonts w:ascii="Consolas" w:hAnsi="Consolas"/>
          <w:lang w:eastAsia="ko-KR"/>
        </w:rPr>
        <w:t>n</w:t>
      </w:r>
      <w:proofErr w:type="spellEnd"/>
      <w:r w:rsidR="00A37174">
        <w:rPr>
          <w:lang w:eastAsia="ko-KR"/>
        </w:rPr>
        <w:t xml:space="preserve">, and </w:t>
      </w:r>
      <w:proofErr w:type="spellStart"/>
      <w:r w:rsidR="00A37174" w:rsidRPr="00572109">
        <w:rPr>
          <w:rFonts w:ascii="Consolas" w:hAnsi="Consolas"/>
          <w:lang w:eastAsia="ko-KR"/>
        </w:rPr>
        <w:t>prop_var_</w:t>
      </w:r>
      <w:r w:rsidR="00FB3DB4">
        <w:rPr>
          <w:rFonts w:ascii="Consolas" w:hAnsi="Consolas"/>
          <w:lang w:eastAsia="ko-KR"/>
        </w:rPr>
        <w:t>tr</w:t>
      </w:r>
      <w:proofErr w:type="spellEnd"/>
      <w:r w:rsidR="00FB3DB4">
        <w:rPr>
          <w:lang w:eastAsia="ko-KR"/>
        </w:rPr>
        <w:t xml:space="preserve"> </w:t>
      </w:r>
      <w:r w:rsidR="00A37174">
        <w:rPr>
          <w:lang w:eastAsia="ko-KR"/>
        </w:rPr>
        <w:t xml:space="preserve">representing the variances of the normal proposal distributions for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, n,</m:t>
        </m:r>
      </m:oMath>
      <w:r w:rsidR="00A37174">
        <w:rPr>
          <w:rFonts w:hint="eastAsia"/>
          <w:lang w:eastAsia="ko-KR"/>
        </w:rPr>
        <w:t xml:space="preserve"> </w:t>
      </w:r>
      <w:r w:rsidR="00A37174">
        <w:rPr>
          <w:lang w:eastAsia="ko-KR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r</m:t>
            </m:r>
          </m:sub>
        </m:sSub>
      </m:oMath>
      <w:r w:rsidR="00A37174">
        <w:rPr>
          <w:rFonts w:hint="eastAsia"/>
          <w:lang w:eastAsia="ko-KR"/>
        </w:rPr>
        <w:t>,</w:t>
      </w:r>
      <w:r w:rsidR="00A37174">
        <w:rPr>
          <w:lang w:eastAsia="ko-KR"/>
        </w:rPr>
        <w:t xml:space="preserve"> respectively. Note that there is no proposal variance for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</m:oMath>
      <w:r w:rsidR="00A37174">
        <w:rPr>
          <w:rFonts w:hint="eastAsia"/>
          <w:lang w:eastAsia="ko-KR"/>
        </w:rPr>
        <w:t xml:space="preserve"> </w:t>
      </w:r>
      <w:r w:rsidR="00A37174">
        <w:rPr>
          <w:lang w:eastAsia="ko-KR"/>
        </w:rPr>
        <w:t xml:space="preserve">because its posterior samples are directly sampled from the conditional posterior distribution without using </w:t>
      </w:r>
      <w:r w:rsidR="00F20BB8">
        <w:rPr>
          <w:lang w:eastAsia="ko-KR"/>
        </w:rPr>
        <w:t xml:space="preserve">the </w:t>
      </w:r>
      <w:r w:rsidR="00A37174">
        <w:rPr>
          <w:lang w:eastAsia="ko-KR"/>
        </w:rPr>
        <w:t>Metropolis-Hastings algorithm.</w:t>
      </w:r>
    </w:p>
    <w:p w14:paraId="1339EDB0" w14:textId="4F5AE9F5" w:rsidR="007441E1" w:rsidRDefault="00092785" w:rsidP="00696759">
      <w:pPr>
        <w:spacing w:line="480" w:lineRule="auto"/>
        <w:ind w:firstLine="800"/>
        <w:rPr>
          <w:szCs w:val="24"/>
          <w:lang w:eastAsia="ko-KR"/>
        </w:rPr>
      </w:pPr>
      <w:r>
        <w:rPr>
          <w:lang w:eastAsia="ko-KR"/>
        </w:rPr>
        <w:t>In</w:t>
      </w:r>
      <w:r w:rsidR="00A37174">
        <w:rPr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MBI_</w:t>
      </w:r>
      <w:r w:rsidR="00553E2C">
        <w:rPr>
          <w:lang w:eastAsia="ko-KR"/>
        </w:rPr>
        <w:t>multiple_cells_</w:t>
      </w:r>
      <w:proofErr w:type="gramStart"/>
      <w:r>
        <w:rPr>
          <w:lang w:eastAsia="ko-KR"/>
        </w:rPr>
        <w:t>main.R</w:t>
      </w:r>
      <w:proofErr w:type="spellEnd"/>
      <w:proofErr w:type="gramEnd"/>
      <w:r>
        <w:rPr>
          <w:lang w:eastAsia="ko-KR"/>
        </w:rPr>
        <w:t>’</w:t>
      </w:r>
      <w:r w:rsidR="00A37174">
        <w:rPr>
          <w:lang w:eastAsia="ko-KR"/>
        </w:rPr>
        <w:t xml:space="preserve">, there are two variables </w:t>
      </w:r>
      <w:proofErr w:type="spellStart"/>
      <w:r w:rsidR="00A37174" w:rsidRPr="00572109">
        <w:rPr>
          <w:rFonts w:ascii="Consolas" w:hAnsi="Consolas"/>
          <w:lang w:eastAsia="ko-KR"/>
        </w:rPr>
        <w:t>AR_hyper</w:t>
      </w:r>
      <w:proofErr w:type="spellEnd"/>
      <w:r w:rsidR="00A37174">
        <w:rPr>
          <w:lang w:eastAsia="ko-KR"/>
        </w:rPr>
        <w:t xml:space="preserve"> and </w:t>
      </w:r>
      <w:proofErr w:type="spellStart"/>
      <w:r w:rsidR="00A37174" w:rsidRPr="00572109">
        <w:rPr>
          <w:rFonts w:ascii="Consolas" w:hAnsi="Consolas"/>
          <w:lang w:eastAsia="ko-KR"/>
        </w:rPr>
        <w:t>AR_param</w:t>
      </w:r>
      <w:proofErr w:type="spellEnd"/>
      <w:r w:rsidR="00A37174">
        <w:rPr>
          <w:lang w:eastAsia="ko-KR"/>
        </w:rPr>
        <w:t xml:space="preserve"> representing the acceptance rates of the posteriors samples of the hyperparameters, and that of the parameter sets of the </w:t>
      </w:r>
      <m:oMath>
        <m:r>
          <w:rPr>
            <w:rFonts w:ascii="Cambria Math" w:hAnsi="Cambria Math"/>
            <w:szCs w:val="24"/>
            <w:lang w:eastAsia="ko-KR"/>
          </w:rPr>
          <m:t>D</m:t>
        </m:r>
      </m:oMath>
      <w:r w:rsidR="00A37174" w:rsidDel="009A75C9">
        <w:rPr>
          <w:lang w:eastAsia="ko-KR"/>
        </w:rPr>
        <w:t xml:space="preserve"> </w:t>
      </w:r>
      <w:r w:rsidR="00A37174">
        <w:rPr>
          <w:lang w:eastAsia="ko-KR"/>
        </w:rPr>
        <w:t xml:space="preserve">single cells, respectively. </w:t>
      </w:r>
      <w:proofErr w:type="spellStart"/>
      <w:r w:rsidR="00A37174" w:rsidRPr="00572109">
        <w:rPr>
          <w:rFonts w:ascii="Consolas" w:hAnsi="Consolas"/>
          <w:lang w:eastAsia="ko-KR"/>
        </w:rPr>
        <w:t>AR_hyper</w:t>
      </w:r>
      <w:proofErr w:type="spellEnd"/>
      <w:r w:rsidR="00A37174">
        <w:rPr>
          <w:lang w:eastAsia="ko-KR"/>
        </w:rPr>
        <w:t xml:space="preserve"> has 8 elements that are the acceptance rates of the 8 hyperparameters </w:t>
      </w:r>
      <m:oMath>
        <m:r>
          <m:rPr>
            <m:sty m:val="p"/>
          </m:rPr>
          <w:rPr>
            <w:rFonts w:ascii="Cambria Math" w:hAnsi="Cambria Math"/>
            <w:szCs w:val="24"/>
            <w:lang w:eastAsia="ko-KR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ko-KR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szCs w:val="24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ko-KR"/>
                  </w:rPr>
                  <m:t>b</m:t>
                </m:r>
              </m:sub>
            </m:sSub>
          </m:sub>
        </m:sSub>
        <m:r>
          <w:rPr>
            <w:rFonts w:ascii="Cambria Math" w:hAnsi="Cambria Math"/>
            <w:szCs w:val="24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ko-KR"/>
                  </w:rPr>
                  <m:t>d</m:t>
                </m:r>
              </m:sub>
            </m:sSub>
          </m:sub>
        </m:sSub>
        <m:r>
          <w:rPr>
            <w:rFonts w:ascii="Cambria Math" w:hAnsi="Cambria Math"/>
            <w:szCs w:val="24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ko-KR"/>
                  </w:rPr>
                  <m:t>d</m:t>
                </m:r>
              </m:sub>
            </m:sSub>
          </m:sub>
        </m:sSub>
        <m:r>
          <w:rPr>
            <w:rFonts w:ascii="Cambria Math" w:hAnsi="Cambria Math"/>
            <w:szCs w:val="24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n</m:t>
            </m:r>
          </m:sub>
        </m:sSub>
        <m:r>
          <w:rPr>
            <w:rFonts w:ascii="Cambria Math" w:hAnsi="Cambria Math"/>
            <w:szCs w:val="24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n</m:t>
            </m:r>
          </m:sub>
        </m:sSub>
        <m:r>
          <w:rPr>
            <w:rFonts w:ascii="Cambria Math" w:hAnsi="Cambria Math"/>
            <w:szCs w:val="24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ko-KR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szCs w:val="24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Cs w:val="24"/>
                <w:lang w:eastAsia="ko-KR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eastAsia="ko-KR"/>
                  </w:rPr>
                  <m:t>r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4"/>
            <w:lang w:eastAsia="ko-KR"/>
          </w:rPr>
          <m:t>)</m:t>
        </m:r>
      </m:oMath>
      <w:r w:rsidR="00A37174">
        <w:rPr>
          <w:rFonts w:hint="eastAsia"/>
          <w:szCs w:val="24"/>
          <w:lang w:eastAsia="ko-KR"/>
        </w:rPr>
        <w:t>.</w:t>
      </w:r>
      <w:r w:rsidR="00A37174">
        <w:rPr>
          <w:szCs w:val="24"/>
          <w:lang w:eastAsia="ko-KR"/>
        </w:rPr>
        <w:t xml:space="preserve"> </w:t>
      </w:r>
      <w:proofErr w:type="spellStart"/>
      <w:r w:rsidR="00A37174" w:rsidRPr="00572109">
        <w:rPr>
          <w:rFonts w:ascii="Consolas" w:hAnsi="Consolas"/>
          <w:lang w:eastAsia="ko-KR"/>
        </w:rPr>
        <w:t>AR_param</w:t>
      </w:r>
      <w:proofErr w:type="spellEnd"/>
      <w:r w:rsidR="00A37174">
        <w:rPr>
          <w:szCs w:val="24"/>
          <w:lang w:eastAsia="ko-KR"/>
        </w:rPr>
        <w:t xml:space="preserve"> is </w:t>
      </w:r>
      <m:oMath>
        <m:r>
          <w:rPr>
            <w:rFonts w:ascii="Cambria Math" w:hAnsi="Cambria Math"/>
            <w:szCs w:val="24"/>
            <w:lang w:eastAsia="ko-KR"/>
          </w:rPr>
          <m:t>D×4</m:t>
        </m:r>
      </m:oMath>
      <w:r w:rsidR="00A37174">
        <w:rPr>
          <w:szCs w:val="24"/>
          <w:lang w:eastAsia="ko-KR"/>
        </w:rPr>
        <w:t xml:space="preserve"> matrix. The four elements in the </w:t>
      </w:r>
      <m:oMath>
        <m:r>
          <w:rPr>
            <w:rFonts w:ascii="Cambria Math" w:hAnsi="Cambria Math"/>
            <w:szCs w:val="24"/>
            <w:lang w:eastAsia="ko-KR"/>
          </w:rPr>
          <m:t>j</m:t>
        </m:r>
      </m:oMath>
      <w:r w:rsidR="00A37174">
        <w:rPr>
          <w:rFonts w:hint="eastAsia"/>
          <w:szCs w:val="24"/>
          <w:lang w:eastAsia="ko-KR"/>
        </w:rPr>
        <w:t>-</w:t>
      </w:r>
      <w:proofErr w:type="spellStart"/>
      <w:r w:rsidR="00A37174">
        <w:rPr>
          <w:szCs w:val="24"/>
          <w:lang w:eastAsia="ko-KR"/>
        </w:rPr>
        <w:t>th</w:t>
      </w:r>
      <w:proofErr w:type="spellEnd"/>
      <w:r w:rsidR="00A37174">
        <w:rPr>
          <w:szCs w:val="24"/>
          <w:lang w:eastAsia="ko-KR"/>
        </w:rPr>
        <w:t xml:space="preserve"> row are the acceptance rate of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b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p>
          <m:s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Cs w:val="24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p>
        <m:r>
          <w:rPr>
            <w:rFonts w:ascii="Cambria Math" w:hAnsi="Cambria Math"/>
            <w:szCs w:val="24"/>
            <w:lang w:eastAsia="ko-KR"/>
          </w:rPr>
          <m:t>,</m:t>
        </m:r>
      </m:oMath>
      <w:r w:rsidR="00A37174">
        <w:rPr>
          <w:rFonts w:hint="eastAsia"/>
          <w:szCs w:val="24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r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bSup>
      </m:oMath>
      <w:r w:rsidR="00A37174">
        <w:rPr>
          <w:rFonts w:hint="eastAsia"/>
          <w:szCs w:val="24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of the </w:t>
      </w:r>
      <m:oMath>
        <m:r>
          <w:rPr>
            <w:rFonts w:ascii="Cambria Math" w:hAnsi="Cambria Math"/>
            <w:szCs w:val="24"/>
            <w:lang w:eastAsia="ko-KR"/>
          </w:rPr>
          <m:t>j</m:t>
        </m:r>
      </m:oMath>
      <w:r w:rsidR="00A37174">
        <w:rPr>
          <w:rFonts w:hint="eastAsia"/>
          <w:szCs w:val="24"/>
          <w:lang w:eastAsia="ko-KR"/>
        </w:rPr>
        <w:t>-</w:t>
      </w:r>
      <w:proofErr w:type="spellStart"/>
      <w:r w:rsidR="00A37174">
        <w:rPr>
          <w:szCs w:val="24"/>
          <w:lang w:eastAsia="ko-KR"/>
        </w:rPr>
        <w:t>th</w:t>
      </w:r>
      <w:proofErr w:type="spellEnd"/>
      <w:r w:rsidR="00A37174">
        <w:rPr>
          <w:szCs w:val="24"/>
          <w:lang w:eastAsia="ko-KR"/>
        </w:rPr>
        <w:t xml:space="preserve"> cell</w:t>
      </w:r>
      <w:r w:rsidR="00A37174">
        <w:rPr>
          <w:rFonts w:hint="eastAsia"/>
          <w:szCs w:val="24"/>
          <w:lang w:eastAsia="ko-KR"/>
        </w:rPr>
        <w:t>.</w:t>
      </w:r>
      <w:r w:rsidR="00A37174">
        <w:rPr>
          <w:szCs w:val="24"/>
          <w:lang w:eastAsia="ko-KR"/>
        </w:rPr>
        <w:t xml:space="preserve"> After checking these acceptance rate, users may need to adjust the proposal variances, </w:t>
      </w:r>
      <w:proofErr w:type="spellStart"/>
      <w:r w:rsidR="00A37174" w:rsidRPr="00572109">
        <w:rPr>
          <w:rFonts w:ascii="Consolas" w:hAnsi="Consolas"/>
          <w:lang w:eastAsia="ko-KR"/>
        </w:rPr>
        <w:t>hyper_prop_var</w:t>
      </w:r>
      <w:proofErr w:type="spellEnd"/>
      <w:r w:rsidR="00A37174">
        <w:rPr>
          <w:szCs w:val="24"/>
          <w:lang w:eastAsia="ko-KR"/>
        </w:rPr>
        <w:t xml:space="preserve"> and </w:t>
      </w:r>
      <w:proofErr w:type="spellStart"/>
      <w:r w:rsidR="00A37174" w:rsidRPr="00572109">
        <w:rPr>
          <w:rFonts w:ascii="Consolas" w:hAnsi="Consolas"/>
          <w:lang w:eastAsia="ko-KR"/>
        </w:rPr>
        <w:t>prop_var</w:t>
      </w:r>
      <w:proofErr w:type="spellEnd"/>
      <w:r>
        <w:rPr>
          <w:szCs w:val="24"/>
          <w:lang w:eastAsia="ko-KR"/>
        </w:rPr>
        <w:t>.</w:t>
      </w:r>
      <w:r w:rsidR="00A37174">
        <w:rPr>
          <w:szCs w:val="24"/>
          <w:lang w:eastAsia="ko-KR"/>
        </w:rPr>
        <w:t xml:space="preserve"> </w:t>
      </w:r>
      <w:proofErr w:type="spellStart"/>
      <w:r w:rsidR="00A37174" w:rsidRPr="00572109">
        <w:rPr>
          <w:rFonts w:ascii="Consolas" w:hAnsi="Consolas"/>
          <w:lang w:eastAsia="ko-KR"/>
        </w:rPr>
        <w:t>hyper_prop_var</w:t>
      </w:r>
      <w:proofErr w:type="spellEnd"/>
      <w:r w:rsidR="00A37174">
        <w:rPr>
          <w:szCs w:val="24"/>
          <w:lang w:eastAsia="ko-KR"/>
        </w:rPr>
        <w:t xml:space="preserve"> has 8 elements </w:t>
      </w:r>
      <w:r>
        <w:rPr>
          <w:szCs w:val="24"/>
          <w:lang w:eastAsia="ko-KR"/>
        </w:rPr>
        <w:lastRenderedPageBreak/>
        <w:t xml:space="preserve">that are </w:t>
      </w:r>
      <w:r w:rsidR="00A37174">
        <w:rPr>
          <w:szCs w:val="24"/>
          <w:lang w:eastAsia="ko-KR"/>
        </w:rPr>
        <w:t>the proposal variances of the 8 hyperparameters</w:t>
      </w:r>
      <w:r w:rsidR="00DF4D4B">
        <w:rPr>
          <w:szCs w:val="24"/>
          <w:lang w:eastAsia="ko-KR"/>
        </w:rPr>
        <w:t xml:space="preserve">, </w:t>
      </w:r>
      <w:r w:rsidR="00A37174">
        <w:rPr>
          <w:szCs w:val="24"/>
          <w:lang w:eastAsia="ko-KR"/>
        </w:rPr>
        <w:t xml:space="preserve">and the </w:t>
      </w:r>
      <m:oMath>
        <m:r>
          <w:rPr>
            <w:rFonts w:ascii="Cambria Math" w:hAnsi="Cambria Math"/>
            <w:szCs w:val="24"/>
            <w:lang w:eastAsia="ko-KR"/>
          </w:rPr>
          <m:t>j</m:t>
        </m:r>
      </m:oMath>
      <w:r w:rsidR="00A37174">
        <w:rPr>
          <w:rFonts w:hint="eastAsia"/>
          <w:szCs w:val="24"/>
          <w:lang w:eastAsia="ko-KR"/>
        </w:rPr>
        <w:t>-</w:t>
      </w:r>
      <w:proofErr w:type="spellStart"/>
      <w:r w:rsidR="00A37174">
        <w:rPr>
          <w:szCs w:val="24"/>
          <w:lang w:eastAsia="ko-KR"/>
        </w:rPr>
        <w:t>th</w:t>
      </w:r>
      <w:proofErr w:type="spellEnd"/>
      <w:r w:rsidR="00A37174">
        <w:rPr>
          <w:szCs w:val="24"/>
          <w:lang w:eastAsia="ko-KR"/>
        </w:rPr>
        <w:t xml:space="preserve"> row of </w:t>
      </w:r>
      <w:proofErr w:type="spellStart"/>
      <w:r w:rsidR="00A37174" w:rsidRPr="00E13CD1">
        <w:rPr>
          <w:rFonts w:ascii="Consolas" w:hAnsi="Consolas"/>
          <w:lang w:eastAsia="ko-KR"/>
        </w:rPr>
        <w:t>prop_var</w:t>
      </w:r>
      <w:proofErr w:type="spellEnd"/>
      <w:r w:rsidR="00A37174">
        <w:rPr>
          <w:rFonts w:ascii="Consolas" w:hAnsi="Consolas"/>
          <w:lang w:eastAsia="ko-KR"/>
        </w:rPr>
        <w:t xml:space="preserve"> </w:t>
      </w:r>
      <w:r w:rsidR="00A37174">
        <w:rPr>
          <w:szCs w:val="24"/>
          <w:lang w:eastAsia="ko-KR"/>
        </w:rPr>
        <w:t>has</w:t>
      </w:r>
      <w:r w:rsidR="00A37174">
        <w:rPr>
          <w:rFonts w:ascii="Consolas" w:hAnsi="Consolas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4 elements that are the proposal variances of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b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p>
          <m:s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Cs w:val="24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p>
        <m:r>
          <w:rPr>
            <w:rFonts w:ascii="Cambria Math" w:hAnsi="Cambria Math"/>
            <w:szCs w:val="24"/>
            <w:lang w:eastAsia="ko-KR"/>
          </w:rPr>
          <m:t>,</m:t>
        </m:r>
      </m:oMath>
      <w:r w:rsidR="00A37174">
        <w:rPr>
          <w:rFonts w:hint="eastAsia"/>
          <w:szCs w:val="24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r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bSup>
      </m:oMath>
      <w:r w:rsidR="00A37174">
        <w:rPr>
          <w:szCs w:val="24"/>
          <w:lang w:eastAsia="ko-KR"/>
        </w:rPr>
        <w:t xml:space="preserve">, </w:t>
      </w:r>
      <w:r w:rsidR="00A37174">
        <w:rPr>
          <w:rFonts w:hint="eastAsia"/>
          <w:szCs w:val="24"/>
          <w:lang w:eastAsia="ko-KR"/>
        </w:rPr>
        <w:t>f</w:t>
      </w:r>
      <w:r w:rsidR="00A37174">
        <w:rPr>
          <w:szCs w:val="24"/>
          <w:lang w:eastAsia="ko-KR"/>
        </w:rPr>
        <w:t xml:space="preserve">or </w:t>
      </w:r>
      <m:oMath>
        <m:r>
          <w:rPr>
            <w:rFonts w:ascii="Cambria Math" w:hAnsi="Cambria Math"/>
            <w:szCs w:val="24"/>
            <w:lang w:eastAsia="ko-KR"/>
          </w:rPr>
          <m:t>j=1,…,D.</m:t>
        </m:r>
      </m:oMath>
      <w:r w:rsidR="00A37174">
        <w:rPr>
          <w:szCs w:val="24"/>
          <w:lang w:eastAsia="ko-KR"/>
        </w:rPr>
        <w:t xml:space="preserve"> We let the proposal variances of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b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(i)</m:t>
            </m:r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p>
          <m:s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Cs w:val="24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eastAsia="ko-KR"/>
              </w:rPr>
              <m:t>(i)</m:t>
            </m:r>
          </m:sup>
        </m:sSup>
        <m:r>
          <w:rPr>
            <w:rFonts w:ascii="Cambria Math" w:hAnsi="Cambria Math"/>
            <w:szCs w:val="24"/>
            <w:lang w:eastAsia="ko-KR"/>
          </w:rPr>
          <m:t>,</m:t>
        </m:r>
      </m:oMath>
      <w:r w:rsidR="00A37174">
        <w:rPr>
          <w:rFonts w:hint="eastAsia"/>
          <w:szCs w:val="24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r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(i)</m:t>
            </m:r>
          </m:sup>
        </m:sSubSup>
      </m:oMath>
      <w:r w:rsidR="00A37174">
        <w:rPr>
          <w:rFonts w:hint="eastAsia"/>
          <w:szCs w:val="24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be the same to those of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b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eastAsia="ko-KR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szCs w:val="24"/>
            <w:lang w:eastAsia="ko-KR"/>
          </w:rPr>
          <m:t>,</m:t>
        </m:r>
        <m:sSup>
          <m:s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Cs w:val="24"/>
                <w:lang w:eastAsia="ko-KR"/>
              </w:rPr>
              <m:t>n</m:t>
            </m:r>
          </m:e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p>
        <m:r>
          <w:rPr>
            <w:rFonts w:ascii="Cambria Math" w:hAnsi="Cambria Math"/>
            <w:szCs w:val="24"/>
            <w:lang w:eastAsia="ko-KR"/>
          </w:rPr>
          <m:t>,</m:t>
        </m:r>
      </m:oMath>
      <w:r w:rsidR="00A37174">
        <w:rPr>
          <w:rFonts w:hint="eastAsia"/>
          <w:szCs w:val="24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Cs w:val="24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eastAsia="ko-KR"/>
              </w:rPr>
              <m:t>r</m:t>
            </m:r>
          </m:sub>
          <m:sup>
            <m:r>
              <w:rPr>
                <w:rFonts w:ascii="Cambria Math" w:hAnsi="Cambria Math"/>
                <w:szCs w:val="24"/>
                <w:lang w:eastAsia="ko-KR"/>
              </w:rPr>
              <m:t>(j)</m:t>
            </m:r>
          </m:sup>
        </m:sSubSup>
      </m:oMath>
      <w:r w:rsidR="00A37174">
        <w:rPr>
          <w:szCs w:val="24"/>
          <w:lang w:eastAsia="ko-KR"/>
        </w:rPr>
        <w:t xml:space="preserve"> for arbitrary </w:t>
      </w:r>
      <m:oMath>
        <m:r>
          <w:rPr>
            <w:rFonts w:ascii="Cambria Math" w:hAnsi="Cambria Math"/>
            <w:szCs w:val="24"/>
            <w:lang w:eastAsia="ko-KR"/>
          </w:rPr>
          <m:t>i</m:t>
        </m:r>
      </m:oMath>
      <w:r w:rsidR="00A37174" w:rsidDel="009A75C9">
        <w:rPr>
          <w:szCs w:val="24"/>
          <w:lang w:eastAsia="ko-KR"/>
        </w:rPr>
        <w:t xml:space="preserve"> </w:t>
      </w:r>
      <w:r w:rsidR="00A37174">
        <w:rPr>
          <w:szCs w:val="24"/>
          <w:lang w:eastAsia="ko-KR"/>
        </w:rPr>
        <w:t xml:space="preserve">and </w:t>
      </w:r>
      <m:oMath>
        <m:r>
          <w:rPr>
            <w:rFonts w:ascii="Cambria Math" w:hAnsi="Cambria Math"/>
            <w:szCs w:val="24"/>
            <w:lang w:eastAsia="ko-KR"/>
          </w:rPr>
          <m:t>j</m:t>
        </m:r>
      </m:oMath>
      <w:r w:rsidR="00A37174">
        <w:rPr>
          <w:szCs w:val="24"/>
          <w:lang w:eastAsia="ko-KR"/>
        </w:rPr>
        <w:t>.</w:t>
      </w:r>
    </w:p>
    <w:p w14:paraId="73A8FAC8" w14:textId="716B5A9D" w:rsidR="007441E1" w:rsidRDefault="007441E1" w:rsidP="00214E42">
      <w:pPr>
        <w:spacing w:line="480" w:lineRule="auto"/>
        <w:rPr>
          <w:szCs w:val="24"/>
          <w:lang w:eastAsia="ko-KR"/>
        </w:rPr>
      </w:pPr>
    </w:p>
    <w:p w14:paraId="3E8037D0" w14:textId="3D772A19" w:rsidR="00214E42" w:rsidRPr="00E55837" w:rsidRDefault="00214E42" w:rsidP="00E55837">
      <w:pPr>
        <w:spacing w:line="360" w:lineRule="auto"/>
        <w:rPr>
          <w:rFonts w:ascii="Arial" w:hAnsi="Arial" w:cs="Arial"/>
          <w:b/>
          <w:sz w:val="40"/>
          <w:lang w:eastAsia="ko-KR"/>
        </w:rPr>
      </w:pPr>
      <w:r>
        <w:rPr>
          <w:rFonts w:ascii="Arial" w:hAnsi="Arial" w:cs="Arial"/>
          <w:b/>
          <w:sz w:val="40"/>
          <w:lang w:eastAsia="ko-KR"/>
        </w:rPr>
        <w:t>References</w:t>
      </w:r>
    </w:p>
    <w:p w14:paraId="4EA4B4AA" w14:textId="77777777" w:rsidR="007441E1" w:rsidRPr="007441E1" w:rsidRDefault="007441E1" w:rsidP="007441E1">
      <w:pPr>
        <w:pStyle w:val="EndNoteBibliography"/>
      </w:pPr>
      <w:r>
        <w:rPr>
          <w:b/>
          <w:lang w:eastAsia="ko-KR"/>
        </w:rPr>
        <w:fldChar w:fldCharType="begin"/>
      </w:r>
      <w:r>
        <w:rPr>
          <w:b/>
          <w:lang w:eastAsia="ko-KR"/>
        </w:rPr>
        <w:instrText xml:space="preserve"> ADDIN EN.REFLIST </w:instrText>
      </w:r>
      <w:r>
        <w:rPr>
          <w:b/>
          <w:lang w:eastAsia="ko-KR"/>
        </w:rPr>
        <w:fldChar w:fldCharType="separate"/>
      </w:r>
      <w:r w:rsidRPr="007441E1">
        <w:t>Gelman, A., Carlin, J.B., Stern, H.S., Dunson, D.B., Vehtari, A., and Rubin, D.B. (2013). Bayesian data analysis (CRC press).</w:t>
      </w:r>
    </w:p>
    <w:p w14:paraId="28AF6BE9" w14:textId="3906A2EA" w:rsidR="00FD7F28" w:rsidRPr="00696759" w:rsidRDefault="007441E1" w:rsidP="00696759">
      <w:pPr>
        <w:spacing w:line="480" w:lineRule="auto"/>
        <w:ind w:firstLine="800"/>
        <w:rPr>
          <w:b/>
          <w:lang w:eastAsia="ko-KR"/>
        </w:rPr>
      </w:pPr>
      <w:r>
        <w:rPr>
          <w:b/>
          <w:lang w:eastAsia="ko-KR"/>
        </w:rPr>
        <w:fldChar w:fldCharType="end"/>
      </w:r>
    </w:p>
    <w:sectPr w:rsidR="00FD7F28" w:rsidRPr="00696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A738" w14:textId="77777777" w:rsidR="006B1428" w:rsidRDefault="006B1428" w:rsidP="00553E2C">
      <w:r>
        <w:separator/>
      </w:r>
    </w:p>
  </w:endnote>
  <w:endnote w:type="continuationSeparator" w:id="0">
    <w:p w14:paraId="24AAAF37" w14:textId="77777777" w:rsidR="006B1428" w:rsidRDefault="006B1428" w:rsidP="0055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166DE" w14:textId="77777777" w:rsidR="006B1428" w:rsidRDefault="006B1428" w:rsidP="00553E2C">
      <w:r>
        <w:separator/>
      </w:r>
    </w:p>
  </w:footnote>
  <w:footnote w:type="continuationSeparator" w:id="0">
    <w:p w14:paraId="304F3A87" w14:textId="77777777" w:rsidR="006B1428" w:rsidRDefault="006B1428" w:rsidP="00553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5vpafvf2eff22e0a2sxtwf1txw9zfxdwvf5&quot;&gt;My EndNote Library&lt;record-ids&gt;&lt;item&gt;62&lt;/item&gt;&lt;/record-ids&gt;&lt;/item&gt;&lt;/Libraries&gt;"/>
  </w:docVars>
  <w:rsids>
    <w:rsidRoot w:val="00F04040"/>
    <w:rsid w:val="00091AA9"/>
    <w:rsid w:val="00092785"/>
    <w:rsid w:val="000A14F3"/>
    <w:rsid w:val="000B12F6"/>
    <w:rsid w:val="000D2650"/>
    <w:rsid w:val="00214E42"/>
    <w:rsid w:val="002F794D"/>
    <w:rsid w:val="00376E1E"/>
    <w:rsid w:val="003F1448"/>
    <w:rsid w:val="00445332"/>
    <w:rsid w:val="004639A2"/>
    <w:rsid w:val="004713FC"/>
    <w:rsid w:val="00552A68"/>
    <w:rsid w:val="00553E2C"/>
    <w:rsid w:val="0055548A"/>
    <w:rsid w:val="0055644B"/>
    <w:rsid w:val="00591706"/>
    <w:rsid w:val="005C1277"/>
    <w:rsid w:val="006135C8"/>
    <w:rsid w:val="00624492"/>
    <w:rsid w:val="006329FC"/>
    <w:rsid w:val="0066295D"/>
    <w:rsid w:val="00690BE0"/>
    <w:rsid w:val="00696759"/>
    <w:rsid w:val="006B1428"/>
    <w:rsid w:val="00706392"/>
    <w:rsid w:val="007441E1"/>
    <w:rsid w:val="007878E4"/>
    <w:rsid w:val="007A3B6B"/>
    <w:rsid w:val="00A07284"/>
    <w:rsid w:val="00A37174"/>
    <w:rsid w:val="00A86C22"/>
    <w:rsid w:val="00B23980"/>
    <w:rsid w:val="00B42F6A"/>
    <w:rsid w:val="00C7742C"/>
    <w:rsid w:val="00D86A0D"/>
    <w:rsid w:val="00D92A3B"/>
    <w:rsid w:val="00DC5416"/>
    <w:rsid w:val="00DF4D4B"/>
    <w:rsid w:val="00E00DD7"/>
    <w:rsid w:val="00E55837"/>
    <w:rsid w:val="00F04040"/>
    <w:rsid w:val="00F20BB8"/>
    <w:rsid w:val="00F47B5C"/>
    <w:rsid w:val="00F8285E"/>
    <w:rsid w:val="00F85B5E"/>
    <w:rsid w:val="00FB3DB4"/>
    <w:rsid w:val="00FD47F6"/>
    <w:rsid w:val="00F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A8239"/>
  <w15:chartTrackingRefBased/>
  <w15:docId w15:val="{D5B043DD-DD1C-45D7-908C-72E1982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74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71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37174"/>
  </w:style>
  <w:style w:type="character" w:customStyle="1" w:styleId="CommentTextChar">
    <w:name w:val="Comment Text Char"/>
    <w:basedOn w:val="DefaultParagraphFont"/>
    <w:link w:val="CommentText"/>
    <w:uiPriority w:val="99"/>
    <w:rsid w:val="00A37174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17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74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174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53E2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E2C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3E2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E2C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7441E1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1E1"/>
    <w:rPr>
      <w:rFonts w:ascii="Times New Roman" w:hAnsi="Times New Roman" w:cs="Times New Roman"/>
      <w:noProof/>
      <w:kern w:val="0"/>
      <w:sz w:val="24"/>
      <w:szCs w:val="20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7441E1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1E1"/>
    <w:rPr>
      <w:rFonts w:ascii="Times New Roman" w:hAnsi="Times New Roman" w:cs="Times New Roman"/>
      <w:noProof/>
      <w:kern w:val="0"/>
      <w:sz w:val="24"/>
      <w:szCs w:val="20"/>
      <w:lang w:eastAsia="en-US"/>
    </w:rPr>
  </w:style>
  <w:style w:type="paragraph" w:styleId="Revision">
    <w:name w:val="Revision"/>
    <w:hidden/>
    <w:uiPriority w:val="99"/>
    <w:semiHidden/>
    <w:rsid w:val="002F794D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Daewook Kim</dc:creator>
  <cp:keywords/>
  <dc:description/>
  <cp:lastModifiedBy>HongHyukpyo</cp:lastModifiedBy>
  <cp:revision>2</cp:revision>
  <dcterms:created xsi:type="dcterms:W3CDTF">2021-12-06T12:27:00Z</dcterms:created>
  <dcterms:modified xsi:type="dcterms:W3CDTF">2021-12-06T12:27:00Z</dcterms:modified>
</cp:coreProperties>
</file>