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MINH HỌA – KHÔNG PHẢI VĂN BẢN THẬT (dùng để thử ứng dụng)</w:t>
      </w:r>
    </w:p>
    <w:p>
      <w:r>
        <w:t>CÔNG AN THÀNH PHỐ HỒ CHÍ MINH</w:t>
      </w:r>
    </w:p>
    <w:p>
      <w:r>
        <w:t>PHÒNG CẢNH SÁT GIAO THÔNG</w:t>
      </w:r>
    </w:p>
    <w:p>
      <w:r>
        <w:t>Số: 0000/QĐ-XPHC</w:t>
      </w:r>
    </w:p>
    <w:p>
      <w:r>
        <w:t>QUYẾT ĐỊNH XỬ PHẠT VI PHẠM HÀNH CHÍNH</w:t>
      </w:r>
    </w:p>
    <w:p>
      <w:r>
        <w:t>Căn cứ Luật Xử lý vi phạm hành chính; Căn cứ Nghị định số 168/2024/NĐ-CP ngày 26 tháng 12 năm 2024 của Chính phủ;</w:t>
      </w:r>
    </w:p>
    <w:p>
      <w:r>
        <w:t>Căn cứ Biên bản vi phạm hành chính số 0000/BB-VPHC lập ngày 02/09/2026;</w:t>
      </w:r>
    </w:p>
    <w:p>
      <w:r>
        <w:t>QUYẾT ĐỊNH:</w:t>
      </w:r>
    </w:p>
    <w:p>
      <w:r>
        <w:t>Điều 1. Xử phạt vi phạm hành chính đối với:</w:t>
      </w:r>
    </w:p>
    <w:p>
      <w:r>
        <w:t>Ông: KIM MIN-SU (người nước ngoài), Quốc tịch: Hàn Quốc, Hộ chiếu số: M00000000.</w:t>
      </w:r>
    </w:p>
    <w:p>
      <w:r>
        <w:t>Địa chỉ: Phường Thảo Điền, Thành phố Hồ Chí Minh.</w:t>
      </w:r>
    </w:p>
    <w:p>
      <w:r>
        <w:t>Đã thực hiện hành vi vi phạm hành chính: Điều khiển xe mô tô biển số 59X1-000.00 không chấp hành hiệu lệnh của đèn tín hiệu giao thông.</w:t>
      </w:r>
    </w:p>
    <w:p>
      <w:r>
        <w:t>Quy định tại: điểm c khoản 7 Điều 7 Nghị định số 168/2024/NĐ-CP.</w:t>
      </w:r>
    </w:p>
    <w:p>
      <w:r>
        <w:t>Địa điểm vi phạm: Giao lộ Điện Biên Phủ – Hai Bà Trưng, Thành phố Hồ Chí Minh. Thời gian: 07 giờ 45 phút ngày 02/09/2026.</w:t>
      </w:r>
    </w:p>
    <w:p>
      <w:r>
        <w:t>Hình thức xử phạt chính: Phạt tiền 5.000.000 đồng (Năm triệu đồng).</w:t>
      </w:r>
    </w:p>
    <w:p>
      <w:r>
        <w:t>Biện pháp khác: Trừ 04 điểm giấy phép lái xe.</w:t>
      </w:r>
    </w:p>
    <w:p>
      <w:r>
        <w:t>Điều 2. Quyết định này có hiệu lực kể từ ngày ký. Ông Kim Min-su phải nghiêm chỉnh chấp hành Quyết định xử phạt này. Nếu không chấp hành sẽ bị cưỡng chế thi hành.</w:t>
      </w:r>
    </w:p>
    <w:p>
      <w:r>
        <w:t>Trong thời hạn 10 ngày kể từ ngày nhận được Quyết định, ông Kim Min-su phải nộp tiền phạt tại Kho bạc Nhà nước hoặc nộp qua Cổng Dịch vụ công quốc gia. Quá thời hạn trên sẽ bị cưỡng chế thi hành.</w:t>
      </w:r>
    </w:p>
    <w:p>
      <w:r>
        <w:t>Ông Kim Min-su có quyền khiếu nại hoặc khởi kiện hành chính đối với Quyết định này theo quy định của pháp luật.</w:t>
      </w:r>
    </w:p>
    <w:p>
      <w:r>
        <w:t>Điều 3. Quyết định này được giao cho ông Kim Min-su để chấp hành. Ngày 05 tháng 9 năm 2026.</w:t>
      </w:r>
    </w:p>
    <w:p>
      <w:r>
        <w:t>NGƯỜI RA QUYẾT ĐỊNH (ký,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