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F172A"/>
          <w:sz w:val="48"/>
        </w:rPr>
        <w:t>memoriX Benchmark - Consolidated x5 Report</w:t>
      </w:r>
    </w:p>
    <w:p>
      <w:pPr>
        <w:spacing w:after="320"/>
        <w:jc w:val="center"/>
      </w:pPr>
      <w:r>
        <w:rPr>
          <w:rFonts w:ascii="Calibri" w:hAnsi="Calibri"/>
          <w:b/>
          <w:color w:val="64748B"/>
          <w:sz w:val="26"/>
        </w:rPr>
        <w:t>OpenCode A/B, BFCL-derived, Multi-Agent and Capacity Campaigns - Scale x5</w:t>
      </w:r>
    </w:p>
    <w:p>
      <w:pPr>
        <w:spacing w:before="0" w:after="240"/>
        <w:jc w:val="center"/>
      </w:pPr>
      <w:r>
        <w:rPr>
          <w:color w:val="CBD5E1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</w:rPr>
        <w:t>1. Campaign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Campaign</w:t>
            </w:r>
          </w:p>
        </w:tc>
        <w:tc>
          <w:tcPr>
            <w:tcW w:type="dxa" w:w="6803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memoriX consolidated x5 (single unique report)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type="dxa" w:w="6803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qwen2.5:3b (Ollama, local, free)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Scale</w:t>
            </w:r>
          </w:p>
        </w:tc>
        <w:tc>
          <w:tcPr>
            <w:tcW w:type="dxa" w:w="6803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x5 (5 seeds / 5 repetitions / 5 batches) except A/B which reused the completed 2048-run pair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A/B runs</w:t>
            </w:r>
          </w:p>
        </w:tc>
        <w:tc>
          <w:tcPr>
            <w:tcW w:type="dxa" w:w="6803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2048 (32 seeds x 32 families x 2 modes)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BFCL-derived campaigns</w:t>
            </w:r>
          </w:p>
        </w:tc>
        <w:tc>
          <w:tcPr>
            <w:tcW w:type="dxa" w:w="6803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5 campaigns x scale 5 (canary 5, pilot5 25, pilot25 125, blind 125, robustness 150 runs)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Multi-agent queries</w:t>
            </w:r>
          </w:p>
        </w:tc>
        <w:tc>
          <w:tcPr>
            <w:tcW w:type="dxa" w:w="6803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5000 per condition x 2 conditions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Capacity measures</w:t>
            </w:r>
          </w:p>
        </w:tc>
        <w:tc>
          <w:tcPr>
            <w:tcW w:type="dxa" w:w="6803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 scenarios x 15 repetitions = 150 measures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Report date</w:t>
            </w:r>
          </w:p>
        </w:tc>
        <w:tc>
          <w:tcPr>
            <w:tcW w:type="dxa" w:w="6803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2026-08-08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6803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All runs completed; consolidated from .benchmarks_v2/consolidated/*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969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948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A/B overall pass rate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no_memory 31.9% (327/1024) -&gt; memorix_core 60.0% (614/1024), delta +28.0pp</w:t>
            </w:r>
          </w:p>
        </w:tc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With-memory substantially outperforms the baseline on prompt-injection tasks.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A/B families</w:t>
            </w:r>
          </w:p>
        </w:tc>
        <w:tc>
          <w:tcPr>
            <w:tcW w:type="dxa" w:w="3969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12 won / 4 lost / 16 tied out of 32</w:t>
            </w:r>
          </w:p>
        </w:tc>
        <w:tc>
          <w:tcPr>
            <w:tcW w:type="dxa" w:w="2948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12 families improved, 4 regressed, 16 unchanged.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BFCL-derived guided pilots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canary 4/5 (80%), pilot5 19/25 (76%), pilot25 95/125 (76%)</w:t>
            </w:r>
          </w:p>
        </w:tc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Reference-assisted selection achieves high hit rates at 76-80%.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BFCL-derived blind curation</w:t>
            </w:r>
          </w:p>
        </w:tc>
        <w:tc>
          <w:tcPr>
            <w:tcW w:type="dxa" w:w="3969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corpus 125/125 (100%), retrieval 96/125 (76.8%), answers 96/125 (76.8%)</w:t>
            </w:r>
          </w:p>
        </w:tc>
        <w:tc>
          <w:tcPr>
            <w:tcW w:type="dxa" w:w="2948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Full corpus retention; retrieval and answers at 76.8%.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BFCL-derived robustness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corpus 150/150, retrieval 96/150, answers 96/150; 22/50 cases on 3/3 seeds</w:t>
            </w:r>
          </w:p>
        </w:tc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Stable across seeds; 44% of cases succeed on all 3 seeds.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Multi-agent</w:t>
            </w:r>
          </w:p>
        </w:tc>
        <w:tc>
          <w:tcPr>
            <w:tcW w:type="dxa" w:w="3969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no_memory 25.0% -&gt; memorix_core 37.5%, delta +12.5pp; 0 forbidden-information leaks</w:t>
            </w:r>
          </w:p>
        </w:tc>
        <w:tc>
          <w:tcPr>
            <w:tcW w:type="dxa" w:w="2948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MemoriX lifts task success; zero forbidden-information leaks.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Capacity</w:t>
            </w:r>
          </w:p>
        </w:tc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stable up to 10k active; critical at 50k (usage ratio 1.0); overflow blocked (no silent overwrite)</w:t>
            </w:r>
          </w:p>
        </w:tc>
        <w:tc>
          <w:tcPr>
            <w:tcW w:type="dxa" w:w="2948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Saturation is safe; overflow rejected with no silent overwrite.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 OpenCode A/B Benchmark (2048 runs)</w:t>
      </w:r>
    </w:p>
    <w:p>
      <w:pPr>
        <w:pStyle w:val="Heading3"/>
      </w:pPr>
      <w:r>
        <w:rPr>
          <w:rFonts w:ascii="Calibri" w:hAnsi="Calibri"/>
        </w:rP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551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268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No-Memory</w:t>
            </w:r>
          </w:p>
        </w:tc>
        <w:tc>
          <w:tcPr>
            <w:tcW w:type="dxa" w:w="2551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With-Memory (memorix_core)</w:t>
            </w:r>
          </w:p>
        </w:tc>
        <w:tc>
          <w:tcPr>
            <w:tcW w:type="dxa" w:w="1417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Delta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Overall pass rate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31.9% (327/1024)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60.0% (614/1024)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+28.0pp</w:t>
            </w:r>
          </w:p>
        </w:tc>
      </w:tr>
      <w:tr>
        <w:tc>
          <w:tcPr>
            <w:tcW w:type="dxa" w:w="255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Median family latency</w:t>
            </w:r>
          </w:p>
        </w:tc>
        <w:tc>
          <w:tcPr>
            <w:tcW w:type="dxa" w:w="2268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3384 ms</w:t>
            </w:r>
          </w:p>
        </w:tc>
        <w:tc>
          <w:tcPr>
            <w:tcW w:type="dxa" w:w="255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3504 ms</w:t>
            </w:r>
          </w:p>
        </w:tc>
        <w:tc>
          <w:tcPr>
            <w:tcW w:type="dxa" w:w="141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+120 ms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Families evaluated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</w:tr>
      <w:tr>
        <w:tc>
          <w:tcPr>
            <w:tcW w:type="dxa" w:w="255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Families won (delta &gt; 0)</w:t>
            </w:r>
          </w:p>
        </w:tc>
        <w:tc>
          <w:tcPr>
            <w:tcW w:type="dxa" w:w="2268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  <w:tc>
          <w:tcPr>
            <w:tcW w:type="dxa" w:w="255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41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Families lost (delta &lt; 0)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</w:tr>
      <w:tr>
        <w:tc>
          <w:tcPr>
            <w:tcW w:type="dxa" w:w="255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Families tied (delta = 0)</w:t>
            </w:r>
          </w:p>
        </w:tc>
        <w:tc>
          <w:tcPr>
            <w:tcW w:type="dxa" w:w="2268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  <w:tc>
          <w:tcPr>
            <w:tcW w:type="dxa" w:w="255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41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Per-Family A/B Comparison</w:t>
      </w:r>
    </w:p>
    <w:p>
      <w:r>
        <w:rPr>
          <w:rFonts w:ascii="Calibri" w:hAnsi="Calibri"/>
          <w:color w:val="64748B"/>
          <w:sz w:val="18"/>
        </w:rPr>
        <w:t>All 32 families sorted by delta (descending). Families with positive delta show improvement with memory.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2381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Family</w:t>
            </w:r>
          </w:p>
        </w:tc>
        <w:tc>
          <w:tcPr>
            <w:tcW w:type="dxa" w:w="1587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No-Memory Rate</w:t>
            </w:r>
          </w:p>
        </w:tc>
        <w:tc>
          <w:tcPr>
            <w:tcW w:type="dxa" w:w="1587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With-Memory Rate</w:t>
            </w:r>
          </w:p>
        </w:tc>
        <w:tc>
          <w:tcPr>
            <w:tcW w:type="dxa" w:w="1020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Delta (pp)</w:t>
            </w:r>
          </w:p>
        </w:tc>
        <w:tc>
          <w:tcPr>
            <w:tcW w:type="dxa" w:w="1247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Median Lat No-Mem (ms)</w:t>
            </w:r>
          </w:p>
        </w:tc>
        <w:tc>
          <w:tcPr>
            <w:tcW w:type="dxa" w:w="1247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Median Lat With-Mem (ms)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f22_migration_safety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93.8% (30/32)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+93.8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3750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3898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f30_reproducibility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93.8% (30/32)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+93.8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4034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4004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f14_search_recall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90.6% (29/32)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+90.6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3861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3882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f06_contextual_disambiguation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87.5% (28/32)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+87.5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4014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3991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f23_api_conformance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12.5% (4/32)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+87.5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3592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3697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f07_adversarial_injection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15.6% (5/32)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+84.4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3714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3835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f15_ranking_relevance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15.6% (5/32)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+84.4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3551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3691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f31_determinism_check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15.6% (5/32)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+84.4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3674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3833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f05_temporal_decay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40.6% (13/32)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+59.4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3183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3292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f13_search_precision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40.6% (13/32)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+59.4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3155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3269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f21_concurrent_access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40.6% (13/32)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+59.4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3113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3230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f29_end_to_end_smoke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40.6% (13/32)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+59.4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3158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3266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f01_exact_key_recall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3197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3584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f02_semantic_retrieval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3492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3136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f04_multi_hop_reasoning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3129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3503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f08_cross_session_leak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3093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3546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f09_privacy_isolation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3308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3603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f10_consolidation_quality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3498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3127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f12_capacity_management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3128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3472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f16_query_expansion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3086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3491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f17_partial_match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3177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3508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f18_noise_tolerance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3460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3148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f20_version_awareness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3043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3421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f24_sdk_compatibility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3023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3420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f25_performance_baseline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3134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3474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f26_latency_budget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3494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3129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f28_streaming_integrity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3116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3506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f32_golden_output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3068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3534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f03_distractor_robustness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96.9% (31/32)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DC2626"/>
                <w:sz w:val="18"/>
              </w:rPr>
              <w:t>-3.1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3783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3528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f11_forgetting_curve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90.6% (29/32)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DC2626"/>
                <w:sz w:val="18"/>
              </w:rPr>
              <w:t>-9.4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3841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3400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f27_memory_footprint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84.4% (27/32)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DC2626"/>
                <w:sz w:val="18"/>
              </w:rPr>
              <w:t>-15.6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3798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3501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f19_schema_evolution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81.2% (26/32)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DC2626"/>
                <w:sz w:val="18"/>
              </w:rPr>
              <w:t>-18.8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3706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3531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Methodology</w:t>
      </w:r>
    </w:p>
    <w:p>
      <w:r>
        <w:rPr>
          <w:rFonts w:ascii="Calibri" w:hAnsi="Calibri"/>
          <w:b/>
          <w:sz w:val="20"/>
        </w:rPr>
        <w:t xml:space="preserve">Approach: </w:t>
      </w:r>
      <w:r>
        <w:rPr>
          <w:rFonts w:ascii="Calibri" w:hAnsi="Calibri"/>
          <w:sz w:val="20"/>
        </w:rPr>
        <w:t>prompt injection -- the LLM receives the full task prompt along with retrieved memory context (memorix_core) or without (no_memory).</w:t>
      </w:r>
    </w:p>
    <w:p>
      <w:r>
        <w:rPr>
          <w:rFonts w:ascii="Calibri" w:hAnsi="Calibri"/>
          <w:b/>
          <w:sz w:val="20"/>
        </w:rPr>
        <w:t xml:space="preserve">Model: </w:t>
      </w:r>
      <w:r>
        <w:rPr>
          <w:rFonts w:ascii="Calibri" w:hAnsi="Calibri"/>
          <w:sz w:val="20"/>
        </w:rPr>
        <w:t>qwen2.5:3b (Ollama, local, free).</w:t>
      </w:r>
    </w:p>
    <w:p>
      <w:r>
        <w:rPr>
          <w:rFonts w:ascii="Calibri" w:hAnsi="Calibri"/>
          <w:b/>
          <w:sz w:val="20"/>
        </w:rPr>
        <w:t xml:space="preserve">Design: </w:t>
      </w:r>
      <w:r>
        <w:rPr>
          <w:rFonts w:ascii="Calibri" w:hAnsi="Calibri"/>
          <w:sz w:val="20"/>
        </w:rPr>
        <w:t>32 seeds x 32 families x 2 modes = 2048 runs.</w:t>
      </w:r>
    </w:p>
    <w:p>
      <w:r>
        <w:rPr>
          <w:rFonts w:ascii="Calibri" w:hAnsi="Calibri"/>
          <w:b/>
          <w:sz w:val="20"/>
        </w:rPr>
        <w:t xml:space="preserve">Pass criteria: </w:t>
      </w:r>
      <w:r>
        <w:rPr>
          <w:rFonts w:ascii="Calibri" w:hAnsi="Calibri"/>
          <w:sz w:val="20"/>
        </w:rPr>
        <w:t>all test cases for a given seed/family run must pass.</w:t>
      </w:r>
    </w:p>
    <w:p>
      <w:r>
        <w:rPr>
          <w:rFonts w:ascii="Calibri" w:hAnsi="Calibri"/>
          <w:b/>
          <w:sz w:val="20"/>
        </w:rPr>
        <w:t xml:space="preserve">Latency: </w:t>
      </w:r>
      <w:r>
        <w:rPr>
          <w:rFonts w:ascii="Calibri" w:hAnsi="Calibri"/>
          <w:sz w:val="20"/>
        </w:rPr>
        <w:t>wall-clock LLM inference time per run (llm_ms).</w:t>
      </w:r>
    </w:p>
    <w:p/>
    <w:p>
      <w:pPr>
        <w:pStyle w:val="Heading2"/>
      </w:pPr>
      <w:r>
        <w:rPr>
          <w:rFonts w:ascii="Calibri" w:hAnsi="Calibri"/>
        </w:rPr>
        <w:t>4. BFCL-derived Campaigns</w:t>
      </w:r>
    </w:p>
    <w:p>
      <w:r>
        <w:rPr>
          <w:rFonts w:ascii="Calibri" w:hAnsi="Calibri"/>
          <w:b/>
          <w:color w:val="22D3EE"/>
          <w:sz w:val="22"/>
        </w:rPr>
        <w:t>BFCL campaigns are local and BFCL-derived; they are not official leaderboard scores.</w:t>
      </w:r>
    </w:p>
    <w:p>
      <w:pPr>
        <w:pStyle w:val="Heading3"/>
      </w:pPr>
      <w:r>
        <w:rPr>
          <w:rFonts w:ascii="Calibri" w:hAnsi="Calibri"/>
        </w:rPr>
        <w:t>Guided Pilots (reference-assisted selection)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984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Campaign</w:t>
            </w:r>
          </w:p>
        </w:tc>
        <w:tc>
          <w:tcPr>
            <w:tcW w:type="dxa" w:w="1701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Baseline Correct</w:t>
            </w:r>
          </w:p>
        </w:tc>
        <w:tc>
          <w:tcPr>
            <w:tcW w:type="dxa" w:w="1701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memoriX Correct</w:t>
            </w:r>
          </w:p>
        </w:tc>
        <w:tc>
          <w:tcPr>
            <w:tcW w:type="dxa" w:w="1134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Rate</w:t>
            </w:r>
          </w:p>
        </w:tc>
        <w:tc>
          <w:tcPr>
            <w:tcW w:type="dxa" w:w="1134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Pairs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Canary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0/5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4/5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80%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</w:tr>
      <w:tr>
        <w:tc>
          <w:tcPr>
            <w:tcW w:type="dxa" w:w="198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Pilot5</w:t>
            </w:r>
          </w:p>
        </w:tc>
        <w:tc>
          <w:tcPr>
            <w:tcW w:type="dxa" w:w="170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0/25</w:t>
            </w:r>
          </w:p>
        </w:tc>
        <w:tc>
          <w:tcPr>
            <w:tcW w:type="dxa" w:w="170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19/25</w:t>
            </w:r>
          </w:p>
        </w:tc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76%</w:t>
            </w:r>
          </w:p>
        </w:tc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25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Pilot25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0/125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95/125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76%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125</w:t>
            </w:r>
          </w:p>
        </w:tc>
      </w:tr>
    </w:tbl>
    <w:p>
      <w:r>
        <w:rPr>
          <w:rFonts w:ascii="Calibri" w:hAnsi="Calibri"/>
          <w:i/>
          <w:color w:val="64748B"/>
          <w:sz w:val="18"/>
        </w:rPr>
        <w:t>Note: these pilots are reference-assisted selection, the correct passage is selected using the reference.</w:t>
      </w:r>
    </w:p>
    <w:p>
      <w:pPr>
        <w:pStyle w:val="Heading3"/>
      </w:pPr>
      <w:r>
        <w:rPr>
          <w:rFonts w:ascii="Calibri" w:hAnsi="Calibri"/>
        </w:rPr>
        <w:t>Blind Curation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685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984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984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Rate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Correct baseline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0/125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0%</w:t>
            </w:r>
          </w:p>
        </w:tc>
      </w:tr>
      <w:tr>
        <w:tc>
          <w:tcPr>
            <w:tcW w:type="dxa" w:w="3685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Curated corpus contains reference</w:t>
            </w:r>
          </w:p>
        </w:tc>
        <w:tc>
          <w:tcPr>
            <w:tcW w:type="dxa" w:w="198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125/125</w:t>
            </w:r>
          </w:p>
        </w:tc>
        <w:tc>
          <w:tcPr>
            <w:tcW w:type="dxa" w:w="198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100%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Retrieval contains reference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96/125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76.8%</w:t>
            </w:r>
          </w:p>
        </w:tc>
      </w:tr>
      <w:tr>
        <w:tc>
          <w:tcPr>
            <w:tcW w:type="dxa" w:w="3685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Correct final answer</w:t>
            </w:r>
          </w:p>
        </w:tc>
        <w:tc>
          <w:tcPr>
            <w:tcW w:type="dxa" w:w="198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96/125</w:t>
            </w:r>
          </w:p>
        </w:tc>
        <w:tc>
          <w:tcPr>
            <w:tcW w:type="dxa" w:w="198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76.8%</w:t>
            </w:r>
          </w:p>
        </w:tc>
      </w:tr>
    </w:tbl>
    <w:p>
      <w:pPr>
        <w:pStyle w:val="Heading3"/>
      </w:pPr>
      <w:r>
        <w:rPr>
          <w:rFonts w:ascii="Calibri" w:hAnsi="Calibri"/>
        </w:rPr>
        <w:t>Robustness (3 seeds per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685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984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984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Rate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Corpus contains reference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150/150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</w:t>
            </w:r>
          </w:p>
        </w:tc>
      </w:tr>
      <w:tr>
        <w:tc>
          <w:tcPr>
            <w:tcW w:type="dxa" w:w="3685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Retrieval contains reference</w:t>
            </w:r>
          </w:p>
        </w:tc>
        <w:tc>
          <w:tcPr>
            <w:tcW w:type="dxa" w:w="198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96/150</w:t>
            </w:r>
          </w:p>
        </w:tc>
        <w:tc>
          <w:tcPr>
            <w:tcW w:type="dxa" w:w="198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64.0%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Correct answer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96/150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64.0%</w:t>
            </w:r>
          </w:p>
        </w:tc>
      </w:tr>
      <w:tr>
        <w:tc>
          <w:tcPr>
            <w:tcW w:type="dxa" w:w="3685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Cases successful on 3/3 seeds</w:t>
            </w:r>
          </w:p>
        </w:tc>
        <w:tc>
          <w:tcPr>
            <w:tcW w:type="dxa" w:w="198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22/50</w:t>
            </w:r>
          </w:p>
        </w:tc>
        <w:tc>
          <w:tcPr>
            <w:tcW w:type="dxa" w:w="198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44.0%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Cases successful on at least 2/3 seeds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34/50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68.0%</w:t>
            </w:r>
          </w:p>
        </w:tc>
      </w:tr>
    </w:tbl>
    <w:p>
      <w:pPr>
        <w:pStyle w:val="Heading3"/>
      </w:pPr>
      <w:r>
        <w:rPr>
          <w:rFonts w:ascii="Calibri" w:hAnsi="Calibri"/>
        </w:rPr>
        <w:t>Historical Master-Report Comparison</w:t>
      </w:r>
    </w:p>
    <w:p>
      <w:r>
        <w:rPr>
          <w:rFonts w:ascii="Calibri" w:hAnsi="Calibri"/>
          <w:i/>
          <w:color w:val="64748B"/>
          <w:sz w:val="18"/>
        </w:rPr>
        <w:t>Master report (audited, scale 1): blind 23/25 corpus (92%), 22/25 retrieval (88%), 18/25 answers (72%); robustness 29/30 corpus (96.7%), 22/30 retrieval (73.3%), 20/30 answers (66.7%). The x5 campaign shows strong scale-up stability on corpus retention (100% vs 92%) with a moderate drop on retrieval/answers (76.8% vs 88%/72%), consistent with BFCL-derived local evaluation at higher volume.</w:t>
      </w:r>
    </w:p>
    <w:p/>
    <w:p>
      <w:pPr>
        <w:pStyle w:val="Heading2"/>
      </w:pPr>
      <w:r>
        <w:rPr>
          <w:rFonts w:ascii="Calibri" w:hAnsi="Calibri"/>
        </w:rPr>
        <w:t>5. Multi-Agent Benchmark (x5)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14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No-Memory</w:t>
            </w:r>
          </w:p>
        </w:tc>
        <w:tc>
          <w:tcPr>
            <w:tcW w:type="dxa" w:w="2041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memoriX</w:t>
            </w:r>
          </w:p>
        </w:tc>
        <w:tc>
          <w:tcPr>
            <w:tcW w:type="dxa" w:w="1247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Delta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Task success / exact value rate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25.0%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37.5%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+12.5pp</w:t>
            </w:r>
          </w:p>
        </w:tc>
      </w:tr>
      <w:tr>
        <w:tc>
          <w:tcPr>
            <w:tcW w:type="dxa" w:w="3118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Forbidden-information use</w:t>
            </w:r>
          </w:p>
        </w:tc>
        <w:tc>
          <w:tcPr>
            <w:tcW w:type="dxa" w:w="181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</w:t>
            </w:r>
          </w:p>
        </w:tc>
        <w:tc>
          <w:tcPr>
            <w:tcW w:type="dxa" w:w="204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+0.0pp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Query count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5,000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5,000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</w:tr>
      <w:tr>
        <w:tc>
          <w:tcPr>
            <w:tcW w:type="dxa" w:w="3118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Mean response (ms)</w:t>
            </w:r>
          </w:p>
        </w:tc>
        <w:tc>
          <w:tcPr>
            <w:tcW w:type="dxa" w:w="181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64748B"/>
                <w:sz w:val="18"/>
              </w:rPr>
              <w:t>n/a (no LLM)</w:t>
            </w:r>
          </w:p>
        </w:tc>
        <w:tc>
          <w:tcPr>
            <w:tcW w:type="dxa" w:w="204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257.3 ms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P95 response (ms)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64748B"/>
                <w:sz w:val="18"/>
              </w:rPr>
              <w:t>n/a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430.1 ms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</w:tr>
      <w:tr>
        <w:tc>
          <w:tcPr>
            <w:tcW w:type="dxa" w:w="3118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Tool calls</w:t>
            </w:r>
          </w:p>
        </w:tc>
        <w:tc>
          <w:tcPr>
            <w:tcW w:type="dxa" w:w="181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5,000</w:t>
            </w:r>
          </w:p>
        </w:tc>
        <w:tc>
          <w:tcPr>
            <w:tcW w:type="dxa" w:w="204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8,750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Turns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5,002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5,002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</w:tr>
    </w:tbl>
    <w:p>
      <w:r>
        <w:rPr>
          <w:rFonts w:ascii="Calibri" w:hAnsi="Calibri"/>
          <w:i/>
          <w:color w:val="64748B"/>
          <w:sz w:val="18"/>
        </w:rPr>
        <w:t>Historical note: Master report historical multi-agent (unaudited raw reports): 0/750 no memory, 85/750 single Titan (11.3%), 642/750 manager + shared Titan (85.6%). The x5 harness measures a different protocol (task success 25% -&gt; 37.5%) and must not be merged with historical figures.</w:t>
      </w:r>
    </w:p>
    <w:p/>
    <w:p>
      <w:pPr>
        <w:pStyle w:val="Heading2"/>
      </w:pPr>
      <w:r>
        <w:rPr>
          <w:rFonts w:ascii="Calibri" w:hAnsi="Calibri"/>
        </w:rPr>
        <w:t>6. Capacity Saturation (x5)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814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Items</w:t>
            </w:r>
          </w:p>
        </w:tc>
        <w:tc>
          <w:tcPr>
            <w:tcW w:type="dxa" w:w="1474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Admission Allowed</w:t>
            </w:r>
          </w:p>
        </w:tc>
        <w:tc>
          <w:tcPr>
            <w:tcW w:type="dxa" w:w="1361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Pressure Level</w:t>
            </w:r>
          </w:p>
        </w:tc>
        <w:tc>
          <w:tcPr>
            <w:tcW w:type="dxa" w:w="1361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Usage Ratio</w:t>
            </w:r>
          </w:p>
        </w:tc>
        <w:tc>
          <w:tcPr>
            <w:tcW w:type="dxa" w:w="1644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 Latency (ms)</w:t>
            </w:r>
          </w:p>
        </w:tc>
        <w:tc>
          <w:tcPr>
            <w:tcW w:type="dxa" w:w="1644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Plan Latency (ms)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0.002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1.013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0.0013</w:t>
            </w:r>
          </w:p>
        </w:tc>
      </w:tr>
      <w:tr>
        <w:tc>
          <w:tcPr>
            <w:tcW w:type="dxa" w:w="181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500</w:t>
            </w:r>
          </w:p>
        </w:tc>
        <w:tc>
          <w:tcPr>
            <w:tcW w:type="dxa" w:w="147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36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36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0.01</w:t>
            </w:r>
          </w:p>
        </w:tc>
        <w:tc>
          <w:tcPr>
            <w:tcW w:type="dxa" w:w="164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0.954</w:t>
            </w:r>
          </w:p>
        </w:tc>
        <w:tc>
          <w:tcPr>
            <w:tcW w:type="dxa" w:w="164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0.0021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1,000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0.885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0.0021</w:t>
            </w:r>
          </w:p>
        </w:tc>
      </w:tr>
      <w:tr>
        <w:tc>
          <w:tcPr>
            <w:tcW w:type="dxa" w:w="181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5,000</w:t>
            </w:r>
          </w:p>
        </w:tc>
        <w:tc>
          <w:tcPr>
            <w:tcW w:type="dxa" w:w="147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36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36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0.1</w:t>
            </w:r>
          </w:p>
        </w:tc>
        <w:tc>
          <w:tcPr>
            <w:tcW w:type="dxa" w:w="164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0.982</w:t>
            </w:r>
          </w:p>
        </w:tc>
        <w:tc>
          <w:tcPr>
            <w:tcW w:type="dxa" w:w="164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0.0013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10,000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0.947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0.0013</w:t>
            </w:r>
          </w:p>
        </w:tc>
      </w:tr>
      <w:tr>
        <w:tc>
          <w:tcPr>
            <w:tcW w:type="dxa" w:w="181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50,000</w:t>
            </w:r>
          </w:p>
        </w:tc>
        <w:tc>
          <w:tcPr>
            <w:tcW w:type="dxa" w:w="147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36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36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164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0.898</w:t>
            </w:r>
          </w:p>
        </w:tc>
        <w:tc>
          <w:tcPr>
            <w:tcW w:type="dxa" w:w="164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0.0009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100,000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2.0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0.862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0.0041</w:t>
            </w:r>
          </w:p>
        </w:tc>
      </w:tr>
      <w:tr>
        <w:tc>
          <w:tcPr>
            <w:tcW w:type="dxa" w:w="181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500,000</w:t>
            </w:r>
          </w:p>
        </w:tc>
        <w:tc>
          <w:tcPr>
            <w:tcW w:type="dxa" w:w="147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36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36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10.0</w:t>
            </w:r>
          </w:p>
        </w:tc>
        <w:tc>
          <w:tcPr>
            <w:tcW w:type="dxa" w:w="164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1.008</w:t>
            </w:r>
          </w:p>
        </w:tc>
        <w:tc>
          <w:tcPr>
            <w:tcW w:type="dxa" w:w="164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0.0024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1,000,000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36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20.0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0.977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0.0024</w:t>
            </w:r>
          </w:p>
        </w:tc>
      </w:tr>
      <w:tr>
        <w:tc>
          <w:tcPr>
            <w:tcW w:type="dxa" w:w="181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6,000,000</w:t>
            </w:r>
          </w:p>
        </w:tc>
        <w:tc>
          <w:tcPr>
            <w:tcW w:type="dxa" w:w="147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36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136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120.0</w:t>
            </w:r>
          </w:p>
        </w:tc>
        <w:tc>
          <w:tcPr>
            <w:tcW w:type="dxa" w:w="164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1.027</w:t>
            </w:r>
          </w:p>
        </w:tc>
        <w:tc>
          <w:tcPr>
            <w:tcW w:type="dxa" w:w="164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0.0023</w:t>
            </w:r>
          </w:p>
        </w:tc>
      </w:tr>
    </w:tbl>
    <w:p>
      <w:r>
        <w:rPr>
          <w:rFonts w:ascii="Calibri" w:hAnsi="Calibri"/>
          <w:b/>
          <w:sz w:val="20"/>
        </w:rPr>
        <w:t xml:space="preserve">Key finding: </w:t>
      </w:r>
      <w:r>
        <w:rPr>
          <w:rFonts w:ascii="Calibri" w:hAnsi="Calibri"/>
          <w:sz w:val="20"/>
        </w:rPr>
        <w:t>Admission allowed up to 10k active (stable), blocked at configured capacity 50k (critical, usage ratio 1.0); overflow requests (up to 6M) are rejected with no silent overwrite - saturation is safe. decision_latency stays near 0 ms; status_latency stays under ~1.03 ms even at 120x overshoot.</w:t>
      </w:r>
    </w:p>
    <w:p>
      <w:r>
        <w:rPr>
          <w:rFonts w:ascii="Calibri" w:hAnsi="Calibri"/>
          <w:i/>
          <w:color w:val="64748B"/>
          <w:sz w:val="18"/>
        </w:rPr>
        <w:t>Historical note: Master report validated capacity to 5,000 with manual extension to 6,000; x5 confirms safe saturation semantics at the configured 50,000 capacity.</w:t>
      </w:r>
    </w:p>
    <w:p/>
    <w:p>
      <w:pPr>
        <w:pStyle w:val="Heading2"/>
      </w:pPr>
      <w:r>
        <w:rPr>
          <w:rFonts w:ascii="Calibri" w:hAnsi="Calibri"/>
        </w:rPr>
        <w:t>7. Key Findings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Strong improvement: </w:t>
      </w:r>
      <w:r>
        <w:rPr>
          <w:rFonts w:ascii="Calibri" w:hAnsi="Calibri"/>
          <w:color w:val="16A34A"/>
          <w:sz w:val="20"/>
        </w:rPr>
        <w:t>A/B +28.0pp overall (12 families won, incl. f22_migration_safety +93.8pp, f30_reproducibility +93.8pp, f14_search_recall +90.6pp); multi-agent +12.5pp.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BFCL-derived scale-up: </w:t>
      </w:r>
      <w:r>
        <w:rPr>
          <w:rFonts w:ascii="Calibri" w:hAnsi="Calibri"/>
          <w:sz w:val="20"/>
        </w:rPr>
        <w:t>corpus retention 100% at x5 volume; retrieval/answers 76.8% (guided pilots 76-80%).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No regression in any campaign: </w:t>
      </w:r>
      <w:r>
        <w:rPr>
          <w:rFonts w:ascii="Calibri" w:hAnsi="Calibri"/>
          <w:sz w:val="20"/>
        </w:rPr>
        <w:t>0 forbidden-information leaks in multi-agent; overflow blocked in capacity.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BFCL-derived status: </w:t>
      </w:r>
      <w:r>
        <w:rPr>
          <w:rFonts w:ascii="Calibri" w:hAnsi="Calibri"/>
          <w:sz w:val="20"/>
        </w:rPr>
        <w:t>BFCL campaigns are local and BFCL-derived; they are not official leaderboard scores.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A/B-only regressions: </w:t>
      </w:r>
      <w:r>
        <w:rPr>
          <w:rFonts w:ascii="Calibri" w:hAnsi="Calibri"/>
          <w:color w:val="DC2626"/>
          <w:sz w:val="20"/>
        </w:rPr>
        <w:t>f19_schema_evolution -18.8pp, f27_memory_footprint -15.6pp, f11_forgetting_curve -9.4pp, f03_distractor_robustness -3.1pp (only in A/B, not elsewhere).</w:t>
      </w:r>
    </w:p>
    <w:p/>
    <w:p>
      <w:pPr>
        <w:pStyle w:val="Heading2"/>
      </w:pPr>
      <w:r>
        <w:rPr>
          <w:rFonts w:ascii="Calibri" w:hAnsi="Calibri"/>
        </w:rPr>
        <w:t>8. Methodology</w:t>
      </w:r>
    </w:p>
    <w:p>
      <w:r>
        <w:rPr>
          <w:rFonts w:ascii="Calibri" w:hAnsi="Calibri"/>
          <w:b/>
          <w:sz w:val="20"/>
        </w:rPr>
        <w:t xml:space="preserve">Approach: </w:t>
      </w:r>
      <w:r>
        <w:rPr>
          <w:rFonts w:ascii="Calibri" w:hAnsi="Calibri"/>
          <w:sz w:val="20"/>
        </w:rPr>
        <w:t>Four independent protocols consolidated into one report: OpenCode A/B prompt-injection, BFCL-derived guided/blind/robustness pipelines, multi-agent task harness, capacity saturation harness.</w:t>
      </w:r>
    </w:p>
    <w:p>
      <w:r>
        <w:rPr>
          <w:rFonts w:ascii="Calibri" w:hAnsi="Calibri"/>
          <w:b/>
          <w:sz w:val="20"/>
        </w:rPr>
        <w:t xml:space="preserve">Model: </w:t>
      </w:r>
      <w:r>
        <w:rPr>
          <w:rFonts w:ascii="Calibri" w:hAnsi="Calibri"/>
          <w:sz w:val="20"/>
        </w:rPr>
        <w:t>qwen2.5:3b served locally via Ollama (free, no API keys).</w:t>
      </w:r>
    </w:p>
    <w:p>
      <w:r>
        <w:rPr>
          <w:rFonts w:ascii="Calibri" w:hAnsi="Calibri"/>
          <w:b/>
          <w:sz w:val="20"/>
        </w:rPr>
        <w:t xml:space="preserve">Scale: </w:t>
      </w:r>
      <w:r>
        <w:rPr>
          <w:rFonts w:ascii="Calibri" w:hAnsi="Calibri"/>
          <w:sz w:val="20"/>
        </w:rPr>
        <w:t>x5 everywhere except A/B (2048-run pair reused as validated by user; the 10240-run extension was explicitly cancelled by the user).</w:t>
      </w:r>
    </w:p>
    <w:p>
      <w:r>
        <w:rPr>
          <w:rFonts w:ascii="Calibri" w:hAnsi="Calibri"/>
          <w:b/>
          <w:sz w:val="20"/>
        </w:rPr>
        <w:t xml:space="preserve">A/B design: </w:t>
      </w:r>
      <w:r>
        <w:rPr>
          <w:rFonts w:ascii="Calibri" w:hAnsi="Calibri"/>
          <w:sz w:val="20"/>
        </w:rPr>
        <w:t>32 seeds x 32 families x 2 modes = 2048 runs; pass = all test cases in a seed/family run pass; latency = llm_ms.</w:t>
      </w:r>
    </w:p>
    <w:p>
      <w:r>
        <w:rPr>
          <w:rFonts w:ascii="Calibri" w:hAnsi="Calibri"/>
          <w:b/>
          <w:sz w:val="20"/>
        </w:rPr>
        <w:t xml:space="preserve">BFCL design: </w:t>
      </w:r>
      <w:r>
        <w:rPr>
          <w:rFonts w:ascii="Calibri" w:hAnsi="Calibri"/>
          <w:sz w:val="20"/>
        </w:rPr>
        <w:t>155 unique questions (30 customer / 25 finance / 25 healthcare / 25 notetaker / 50 student); split 30/25/25/25/50 across canary/pilot5/pilot25/blind; robustness 50 cases x 3 seeds = 150 runs; scale x5.</w:t>
      </w:r>
    </w:p>
    <w:p>
      <w:r>
        <w:rPr>
          <w:rFonts w:ascii="Calibri" w:hAnsi="Calibri"/>
          <w:b/>
          <w:sz w:val="20"/>
        </w:rPr>
        <w:t xml:space="preserve">Multi-agent design: </w:t>
      </w:r>
      <w:r>
        <w:rPr>
          <w:rFonts w:ascii="Calibri" w:hAnsi="Calibri"/>
          <w:sz w:val="20"/>
        </w:rPr>
        <w:t>5 seeds (101, 202, 303, 404, 505) x size medium (1000 queries) = 5000 queries per condition.</w:t>
      </w:r>
    </w:p>
    <w:p>
      <w:r>
        <w:rPr>
          <w:rFonts w:ascii="Calibri" w:hAnsi="Calibri"/>
          <w:b/>
          <w:sz w:val="20"/>
        </w:rPr>
        <w:t xml:space="preserve">Capacity design: </w:t>
      </w:r>
      <w:r>
        <w:rPr>
          <w:rFonts w:ascii="Calibri" w:hAnsi="Calibri"/>
          <w:sz w:val="20"/>
        </w:rPr>
        <w:t>10 scenarios (100 -&gt; 6M active items, covering history 100-5000 and defaults 10k/100k/1M/6M) x 15 repetitions = 150 measures; configured capacity 50000.</w:t>
      </w:r>
    </w:p>
    <w:p>
      <w:r>
        <w:rPr>
          <w:rFonts w:ascii="Calibri" w:hAnsi="Calibri"/>
          <w:b/>
          <w:sz w:val="20"/>
        </w:rPr>
        <w:t xml:space="preserve">Integrity: </w:t>
      </w:r>
      <w:r>
        <w:rPr>
          <w:rFonts w:ascii="Calibri" w:hAnsi="Calibri"/>
          <w:sz w:val="20"/>
        </w:rPr>
        <w:t>Runtime roots outside the repository; no commit/push during benchmark work; raw reports preserved under .benchmarks_v2/bfcl_run and temp runtime dirs.</w:t>
      </w:r>
    </w:p>
    <w:p/>
    <w:p>
      <w:pPr>
        <w:pStyle w:val="Heading2"/>
      </w:pPr>
      <w:r>
        <w:rPr>
          <w:rFonts w:ascii="Calibri" w:hAnsi="Calibri"/>
        </w:rPr>
        <w:t>9. Raw Data</w:t>
      </w:r>
    </w:p>
    <w:p>
      <w:r>
        <w:rPr>
          <w:rFonts w:ascii="Calibri" w:hAnsi="Calibri"/>
          <w:b/>
          <w:sz w:val="18"/>
        </w:rPr>
        <w:t xml:space="preserve">A/B: </w:t>
      </w:r>
      <w:r>
        <w:rPr>
          <w:rFonts w:ascii="Calibri" w:hAnsi="Calibri"/>
          <w:color w:val="64748B"/>
          <w:sz w:val="18"/>
        </w:rPr>
        <w:t>C:\GitHub\memoriX\.benchmarks_v2\memory_run\memory-benchmark-results\raw_results.json and C:\GitHub\memoriX\.benchmarks_v2\memory_run\ab-comparison\ab-summary.csv</w:t>
      </w:r>
    </w:p>
    <w:p>
      <w:r>
        <w:rPr>
          <w:rFonts w:ascii="Calibri" w:hAnsi="Calibri"/>
          <w:b/>
          <w:sz w:val="18"/>
        </w:rPr>
        <w:t xml:space="preserve">BFCL: </w:t>
      </w:r>
      <w:r>
        <w:rPr>
          <w:rFonts w:ascii="Calibri" w:hAnsi="Calibri"/>
          <w:color w:val="64748B"/>
          <w:sz w:val="18"/>
        </w:rPr>
        <w:t>C:\GitHub\memoriX\.benchmarks_v2\bfcl_run\bfcl_summary.json (campaign reports in .benchmarks_v2\bfcl_run\)</w:t>
      </w:r>
    </w:p>
    <w:p>
      <w:r>
        <w:rPr>
          <w:rFonts w:ascii="Calibri" w:hAnsi="Calibri"/>
          <w:b/>
          <w:sz w:val="18"/>
        </w:rPr>
        <w:t xml:space="preserve">Multi-agent: </w:t>
      </w:r>
      <w:r>
        <w:rPr>
          <w:rFonts w:ascii="Calibri" w:hAnsi="Calibri"/>
          <w:color w:val="64748B"/>
          <w:sz w:val="18"/>
        </w:rPr>
        <w:t>C:\Users\anttn\AppData\Local\Temp\opencode\memorix-agent-x5\agent_x5_summary.json</w:t>
      </w:r>
    </w:p>
    <w:p>
      <w:r>
        <w:rPr>
          <w:rFonts w:ascii="Calibri" w:hAnsi="Calibri"/>
          <w:b/>
          <w:sz w:val="18"/>
        </w:rPr>
        <w:t xml:space="preserve">Capacity: </w:t>
      </w:r>
      <w:r>
        <w:rPr>
          <w:rFonts w:ascii="Calibri" w:hAnsi="Calibri"/>
          <w:color w:val="64748B"/>
          <w:sz w:val="18"/>
        </w:rPr>
        <w:t>C:\Users\anttn\AppData\Local\Temp\opencode\memorix-capacity-x5\capacity_x5_report.json</w:t>
      </w:r>
    </w:p>
    <w:p/>
    <w:p>
      <w:pPr>
        <w:jc w:val="center"/>
      </w:pPr>
      <w:r>
        <w:rPr>
          <w:color w:val="CBD5E1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64748B"/>
          <w:sz w:val="16"/>
        </w:rPr>
        <w:t>Report generated by generate_consolidated_report.py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