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3A5C"/>
          <w:sz w:val="64"/>
          <w:szCs w:val="64"/>
        </w:rPr>
        <w:t xml:space="preserve">PRIOR ART DISCLOSURE</w:t>
      </w:r>
    </w:p>
    <w:p>
      <w:pPr>
        <w:spacing w:after="240" w:before="0"/>
        <w:jc w:val="center"/>
      </w:pPr>
      <w:r>
        <w:rPr>
          <w:rFonts w:ascii="Arial" w:cs="Arial" w:eastAsia="Arial" w:hAnsi="Arial"/>
          <w:b/>
          <w:bCs/>
          <w:color w:val="2E6DA4"/>
          <w:sz w:val="40"/>
          <w:szCs w:val="40"/>
        </w:rPr>
        <w:t xml:space="preserve">&amp; INTELLECTUAL PROPERTY RELEASE</w:t>
      </w:r>
    </w:p>
    <w:p>
      <w:pPr>
        <w:spacing w:after="80" w:before="0"/>
        <w:jc w:val="center"/>
      </w:pPr>
      <w:r>
        <w:rPr>
          <w:rFonts w:ascii="Arial" w:cs="Arial" w:eastAsia="Arial" w:hAnsi="Arial"/>
          <w:i/>
          <w:iCs/>
          <w:color w:val="555555"/>
          <w:sz w:val="22"/>
          <w:szCs w:val="22"/>
        </w:rPr>
        <w:t xml:space="preserve">CarpenXer v3.4.0 · ELOS System · ECHO: Fracture State · Sovereign Net v2.0</w:t>
      </w:r>
    </w:p>
    <w:p>
      <w:pPr>
        <w:spacing w:after="320" w:before="0"/>
        <w:jc w:val="center"/>
      </w:pPr>
      <w:r>
        <w:rPr>
          <w:rFonts w:ascii="Arial" w:cs="Arial" w:eastAsia="Arial" w:hAnsi="Arial"/>
          <w:i/>
          <w:iCs/>
          <w:color w:val="777777"/>
          <w:sz w:val="20"/>
          <w:szCs w:val="20"/>
        </w:rPr>
        <w:t xml:space="preserve">Pulse Architecture · Clockless Execution · Formally Verified WASM Kernel · AI Oracle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Document Type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 Art Disclosure and Public Domain IP Release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Disclosure 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9, 2025</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Inventor / Author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of Originating Developer — to be filled before filing]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System Names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CarpenXer v3.4.0, ELOS (Ephemeral Layered Operating System), ECHO: Fracture State, Sovereign Net v2.0, I-AM-OS, I-AM-SYSTEMS, GRIDCAST, DropIt100, Solavia Runtime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License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DOMAIN — Dedicated to the public. No rights reserved.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establish prior art preventing future patent monopolization of the disclosed inventions, and to release all associated intellectual property unconditionally into the public domain.</w:t>
            </w:r>
          </w:p>
        </w:tc>
      </w:tr>
    </w:tbl>
    <w:p>
      <w:pPr>
        <w:spacing w:before="240"/>
      </w:pPr>
    </w:p>
    <w:p>
      <w:pPr>
        <w:pStyle w:val="Heading1"/>
        <w:pBdr>
          <w:bottom w:val="single" w:color="2E6DA4" w:sz="8" w:space="6"/>
        </w:pBdr>
        <w:spacing w:after="200" w:before="400"/>
      </w:pPr>
      <w:r>
        <w:rPr>
          <w:rFonts w:ascii="Arial" w:cs="Arial" w:eastAsia="Arial" w:hAnsi="Arial"/>
          <w:b/>
          <w:bCs/>
          <w:color w:val="1A3A5C"/>
          <w:sz w:val="32"/>
          <w:szCs w:val="32"/>
        </w:rPr>
        <w:t xml:space="preserve">I. RECITALS AND INTENT</w:t>
      </w:r>
    </w:p>
    <w:p>
      <w:pPr>
        <w:spacing w:after="60" w:before="60"/>
        <w:jc w:val="left"/>
      </w:pPr>
      <w:r>
        <w:rPr>
          <w:rFonts w:ascii="Arial" w:cs="Arial" w:eastAsia="Arial" w:hAnsi="Arial"/>
          <w:sz w:val="22"/>
          <w:szCs w:val="22"/>
        </w:rPr>
        <w:t xml:space="preserve">This document constitutes a formal prior art disclosure and unconditional public domain release of all inventions, architectures, algorithms, design patterns, and software systems described herein. The originating developer(s) have created these works independently and disclose them publicly for the following purposes:</w:t>
      </w:r>
    </w:p>
    <w:p>
      <w:pPr>
        <w:spacing w:before="80"/>
      </w:pPr>
    </w:p>
    <w:p>
      <w:pPr>
        <w:pStyle w:val="ListParagraph"/>
        <w:numPr>
          <w:ilvl w:val="0"/>
          <w:numId w:val="2"/>
        </w:numPr>
        <w:spacing w:after="40" w:before="40"/>
      </w:pPr>
      <w:r>
        <w:rPr>
          <w:rFonts w:ascii="Arial" w:cs="Arial" w:eastAsia="Arial" w:hAnsi="Arial"/>
          <w:sz w:val="22"/>
          <w:szCs w:val="22"/>
        </w:rPr>
        <w:t xml:space="preserve">To permanently establish a public prior art record that prevents any third party from obtaining valid patent rights over the disclosed inventions or their obvious variants.</w:t>
      </w:r>
    </w:p>
    <w:p>
      <w:pPr>
        <w:pStyle w:val="ListParagraph"/>
        <w:numPr>
          <w:ilvl w:val="0"/>
          <w:numId w:val="2"/>
        </w:numPr>
        <w:spacing w:after="40" w:before="40"/>
      </w:pPr>
      <w:r>
        <w:rPr>
          <w:rFonts w:ascii="Arial" w:cs="Arial" w:eastAsia="Arial" w:hAnsi="Arial"/>
          <w:sz w:val="22"/>
          <w:szCs w:val="22"/>
        </w:rPr>
        <w:t xml:space="preserve">To unconditionally dedicate all copyright, trade secret, and any other intellectual property rights in the disclosed works to the public domain under the Creative Commons Zero (CC0) 1.0 Universal dedication.</w:t>
      </w:r>
    </w:p>
    <w:p>
      <w:pPr>
        <w:pStyle w:val="ListParagraph"/>
        <w:numPr>
          <w:ilvl w:val="0"/>
          <w:numId w:val="2"/>
        </w:numPr>
        <w:spacing w:after="40" w:before="40"/>
      </w:pPr>
      <w:r>
        <w:rPr>
          <w:rFonts w:ascii="Arial" w:cs="Arial" w:eastAsia="Arial" w:hAnsi="Arial"/>
          <w:sz w:val="22"/>
          <w:szCs w:val="22"/>
        </w:rPr>
        <w:t xml:space="preserve">To ensure these architectural innovations remain freely available to all developers, researchers, and organizations without restriction, royalty, or license requirement.</w:t>
      </w:r>
    </w:p>
    <w:p>
      <w:pPr>
        <w:pStyle w:val="ListParagraph"/>
        <w:numPr>
          <w:ilvl w:val="0"/>
          <w:numId w:val="2"/>
        </w:numPr>
        <w:spacing w:after="40" w:before="40"/>
      </w:pPr>
      <w:r>
        <w:rPr>
          <w:rFonts w:ascii="Arial" w:cs="Arial" w:eastAsia="Arial" w:hAnsi="Arial"/>
          <w:sz w:val="22"/>
          <w:szCs w:val="22"/>
        </w:rPr>
        <w:t xml:space="preserve">To document the independent origin and creation date of these inventions as evidence in any future dispute over priority or originality.</w:t>
      </w:r>
    </w:p>
    <w:p>
      <w:pPr>
        <w:spacing w:before="120"/>
      </w:pPr>
    </w:p>
    <w:p>
      <w:pPr>
        <w:spacing w:after="60" w:before="60"/>
        <w:jc w:val="left"/>
      </w:pPr>
      <w:r>
        <w:rPr>
          <w:rFonts w:ascii="Arial" w:cs="Arial" w:eastAsia="Arial" w:hAnsi="Arial"/>
          <w:sz w:val="22"/>
          <w:szCs w:val="22"/>
        </w:rPr>
        <w:t xml:space="preserve">This disclosure covers work developed across two related upload batches identified herein as the CarpenXer/JS Components system and the ECHO/Sentient Ledger Nexus system, collectively representing a unified architectural philosophy built around pulse-based clockless execution, append-only hash-chained state, and constrained AI oracles.</w:t>
      </w:r>
    </w:p>
    <w:p>
      <w:pPr>
        <w:pBdr>
          <w:bottom w:val="single" w:color="CCCCCC" w:sz="4" w:space="4"/>
        </w:pBdr>
        <w:spacing w:after="160" w:before="160"/>
      </w:pPr>
    </w:p>
    <w:p>
      <w:pPr>
        <w:pStyle w:val="Heading1"/>
        <w:pBdr>
          <w:bottom w:val="single" w:color="2E6DA4" w:sz="8" w:space="6"/>
        </w:pBdr>
        <w:spacing w:after="200" w:before="400"/>
      </w:pPr>
      <w:r>
        <w:rPr>
          <w:rFonts w:ascii="Arial" w:cs="Arial" w:eastAsia="Arial" w:hAnsi="Arial"/>
          <w:b/>
          <w:bCs/>
          <w:color w:val="1A3A5C"/>
          <w:sz w:val="32"/>
          <w:szCs w:val="32"/>
        </w:rPr>
        <w:t xml:space="preserve">II. FOUNDATIONAL ARCHITECTURE: THE PULSE PATTERN</w:t>
      </w:r>
    </w:p>
    <w:p>
      <w:pPr>
        <w:spacing w:after="60" w:before="60"/>
        <w:jc w:val="left"/>
      </w:pPr>
      <w:r>
        <w:rPr>
          <w:rFonts w:ascii="Arial" w:cs="Arial" w:eastAsia="Arial" w:hAnsi="Arial"/>
          <w:sz w:val="22"/>
          <w:szCs w:val="22"/>
        </w:rPr>
        <w:t xml:space="preserve">The following cross-cutting design pattern appears independently across all disclosed systems and constitutes the primary architectural contribution of this body of work. It is disclosed in its generalized form to maximize prior art coverage.</w:t>
      </w:r>
    </w:p>
    <w:p>
      <w:pPr>
        <w:spacing w:before="120"/>
      </w:pPr>
    </w:p>
    <w:p>
      <w:pPr>
        <w:pStyle w:val="Heading2"/>
        <w:spacing w:after="120" w:before="300"/>
      </w:pPr>
      <w:r>
        <w:rPr>
          <w:rFonts w:ascii="Arial" w:cs="Arial" w:eastAsia="Arial" w:hAnsi="Arial"/>
          <w:b/>
          <w:bCs/>
          <w:color w:val="2E6DA4"/>
          <w:sz w:val="26"/>
          <w:szCs w:val="26"/>
        </w:rPr>
        <w:t xml:space="preserve">A. Pulse as Universal Execution Primitive</w:t>
      </w:r>
    </w:p>
    <w:p>
      <w:pPr>
        <w:spacing w:after="60" w:before="60"/>
        <w:jc w:val="left"/>
      </w:pPr>
      <w:r>
        <w:rPr>
          <w:rFonts w:ascii="Arial" w:cs="Arial" w:eastAsia="Arial" w:hAnsi="Arial"/>
          <w:sz w:val="22"/>
          <w:szCs w:val="22"/>
        </w:rPr>
        <w:t xml:space="preserve">A 'pulse' is defined herein as a discrete, atomic, externally-triggered unit of world-state advancement that: (1) is initiated only by an explicit action event, never by elapsed time; (2) produces a deterministic, reproducible state transition; (3) generates an append-only, hash-chained record that can be replayed to reconstruct any prior state; and (4) anchors its output to an immutable content-addressed store (e.g., IPFS CIDs) for tamper-evidence.</w:t>
      </w:r>
    </w:p>
    <w:p>
      <w:pPr>
        <w:spacing w:before="80"/>
      </w:pPr>
    </w:p>
    <w:p>
      <w:pPr>
        <w:spacing w:after="60" w:before="60"/>
        <w:jc w:val="left"/>
      </w:pPr>
      <w:r>
        <w:rPr>
          <w:rFonts w:ascii="Arial" w:cs="Arial" w:eastAsia="Arial" w:hAnsi="Arial"/>
          <w:sz w:val="22"/>
          <w:szCs w:val="22"/>
        </w:rPr>
        <w:t xml:space="preserve">This primitive is instantiated in four distinct contexts within the disclosed systems:</w:t>
      </w:r>
    </w:p>
    <w:p>
      <w:pPr>
        <w:pStyle w:val="ListParagraph"/>
        <w:numPr>
          <w:ilvl w:val="0"/>
          <w:numId w:val="2"/>
        </w:numPr>
        <w:spacing w:after="40" w:before="40"/>
      </w:pPr>
      <w:r>
        <w:rPr>
          <w:rFonts w:ascii="Arial" w:cs="Arial" w:eastAsia="Arial" w:hAnsi="Arial"/>
          <w:sz w:val="22"/>
          <w:szCs w:val="22"/>
        </w:rPr>
        <w:t xml:space="preserve">Blockchain pulse: each block advance in ELOS Core Blockchain (Layer 1)</w:t>
      </w:r>
    </w:p>
    <w:p>
      <w:pPr>
        <w:pStyle w:val="ListParagraph"/>
        <w:numPr>
          <w:ilvl w:val="0"/>
          <w:numId w:val="2"/>
        </w:numPr>
        <w:spacing w:after="40" w:before="40"/>
      </w:pPr>
      <w:r>
        <w:rPr>
          <w:rFonts w:ascii="Arial" w:cs="Arial" w:eastAsia="Arial" w:hAnsi="Arial"/>
          <w:sz w:val="22"/>
          <w:szCs w:val="22"/>
        </w:rPr>
        <w:t xml:space="preserve">Game engine pulse: each world mutation in ECHO: Fracture State PulseEngine</w:t>
      </w:r>
    </w:p>
    <w:p>
      <w:pPr>
        <w:pStyle w:val="ListParagraph"/>
        <w:numPr>
          <w:ilvl w:val="0"/>
          <w:numId w:val="2"/>
        </w:numPr>
        <w:spacing w:after="40" w:before="40"/>
      </w:pPr>
      <w:r>
        <w:rPr>
          <w:rFonts w:ascii="Arial" w:cs="Arial" w:eastAsia="Arial" w:hAnsi="Arial"/>
          <w:sz w:val="22"/>
          <w:szCs w:val="22"/>
        </w:rPr>
        <w:t xml:space="preserve">Scheduler pulse: each cooperative task unit in the Nested Pulse Scheduler (NPS)</w:t>
      </w:r>
    </w:p>
    <w:p>
      <w:pPr>
        <w:pStyle w:val="ListParagraph"/>
        <w:numPr>
          <w:ilvl w:val="0"/>
          <w:numId w:val="2"/>
        </w:numPr>
        <w:spacing w:after="40" w:before="40"/>
      </w:pPr>
      <w:r>
        <w:rPr>
          <w:rFonts w:ascii="Arial" w:cs="Arial" w:eastAsia="Arial" w:hAnsi="Arial"/>
          <w:sz w:val="22"/>
          <w:szCs w:val="22"/>
        </w:rPr>
        <w:t xml:space="preserve">CLI pulse: each work interval in the ELOS-MAX parallel hash search harness</w:t>
      </w:r>
    </w:p>
    <w:p>
      <w:pPr>
        <w:spacing w:before="80"/>
      </w:pPr>
    </w:p>
    <w:p>
      <w:pPr>
        <w:spacing w:after="60" w:before="60"/>
        <w:jc w:val="left"/>
      </w:pPr>
      <w:r>
        <w:rPr>
          <w:rFonts w:ascii="Arial" w:cs="Arial" w:eastAsia="Arial" w:hAnsi="Arial"/>
          <w:sz w:val="22"/>
          <w:szCs w:val="22"/>
        </w:rPr>
        <w:t xml:space="preserve">The convergence of this pattern across unrelated subsystems demonstrates its generality as an architectural primitive applicable to any system requiring deterministic, auditable, reproducible state evolution.</w:t>
      </w:r>
    </w:p>
    <w:p>
      <w:pPr>
        <w:pStyle w:val="Heading2"/>
        <w:spacing w:after="120" w:before="300"/>
      </w:pPr>
      <w:r>
        <w:rPr>
          <w:rFonts w:ascii="Arial" w:cs="Arial" w:eastAsia="Arial" w:hAnsi="Arial"/>
          <w:b/>
          <w:bCs/>
          <w:color w:val="2E6DA4"/>
          <w:sz w:val="26"/>
          <w:szCs w:val="26"/>
        </w:rPr>
        <w:t xml:space="preserve">B. Clockless World Advancement</w:t>
      </w:r>
    </w:p>
    <w:p>
      <w:pPr>
        <w:spacing w:after="60" w:before="60"/>
        <w:jc w:val="left"/>
      </w:pPr>
      <w:r>
        <w:rPr>
          <w:rFonts w:ascii="Arial" w:cs="Arial" w:eastAsia="Arial" w:hAnsi="Arial"/>
          <w:sz w:val="22"/>
          <w:szCs w:val="22"/>
        </w:rPr>
        <w:t xml:space="preserve">The disclosed systems implement a 'no global time' execution model: world state advances exclusively on player/user action, with no background timers, no polling loops, and no elapsed-time triggers. This design choice makes replay and determinism achievable by construction rather than by convention, eliminates an entire class of timing-related bugs and race conditions, and enables full state reconstruction from any genesis point by replaying the action log.</w:t>
      </w:r>
    </w:p>
    <w:p>
      <w:pPr>
        <w:spacing w:after="60" w:before="60"/>
        <w:jc w:val="left"/>
      </w:pPr>
      <w:r>
        <w:rPr>
          <w:rFonts w:ascii="Arial" w:cs="Arial" w:eastAsia="Arial" w:hAnsi="Arial"/>
          <w:sz w:val="22"/>
          <w:szCs w:val="22"/>
        </w:rPr>
        <w:t xml:space="preserve">This is distinct from event-driven architectures in that the absence of timers is a hard constraint enforced at the architectural level, not merely a default. The system cannot advance state without an explicit triggering action.</w:t>
      </w:r>
    </w:p>
    <w:p>
      <w:pPr>
        <w:pStyle w:val="Heading2"/>
        <w:spacing w:after="120" w:before="300"/>
      </w:pPr>
      <w:r>
        <w:rPr>
          <w:rFonts w:ascii="Arial" w:cs="Arial" w:eastAsia="Arial" w:hAnsi="Arial"/>
          <w:b/>
          <w:bCs/>
          <w:color w:val="2E6DA4"/>
          <w:sz w:val="26"/>
          <w:szCs w:val="26"/>
        </w:rPr>
        <w:t xml:space="preserve">C. Append-Only Hash-Chain as Universal Integrity Mechanism</w:t>
      </w:r>
    </w:p>
    <w:p>
      <w:pPr>
        <w:spacing w:after="60" w:before="60"/>
        <w:jc w:val="left"/>
      </w:pPr>
      <w:r>
        <w:rPr>
          <w:rFonts w:ascii="Arial" w:cs="Arial" w:eastAsia="Arial" w:hAnsi="Arial"/>
          <w:sz w:val="22"/>
          <w:szCs w:val="22"/>
        </w:rPr>
        <w:t xml:space="preserve">All state transitions across the disclosed systems are recorded in append-only, hash-chained logs where each record references the cryptographic hash of its predecessor. This structure appears in: the ELOS blockchain (SHA-256 hash + proof chain), the CST pulse log (prevPulseHash → pulseHash chain), the PDMG memory graph (Merkle DAG with append-only CRDT nodes), and the IPFS ledger (CID sequence with fallback pseudo-CID generation).</w:t>
      </w:r>
    </w:p>
    <w:p>
      <w:pPr>
        <w:spacing w:after="60" w:before="60"/>
        <w:jc w:val="left"/>
      </w:pPr>
      <w:r>
        <w:rPr>
          <w:rFonts w:ascii="Arial" w:cs="Arial" w:eastAsia="Arial" w:hAnsi="Arial"/>
          <w:sz w:val="22"/>
          <w:szCs w:val="22"/>
        </w:rPr>
        <w:t xml:space="preserve">The specific novelty disclosed here is the application of this structure uniformly across game state, token ledger, AI oracle call log, and distributed memory graph within a single coherent architecture.</w:t>
      </w:r>
    </w:p>
    <w:p>
      <w:pPr>
        <w:pBdr>
          <w:bottom w:val="single" w:color="CCCCCC" w:sz="4" w:space="4"/>
        </w:pBdr>
        <w:spacing w:after="160" w:before="160"/>
      </w:pPr>
    </w:p>
    <w:p>
      <w:pPr>
        <w:pStyle w:val="Heading1"/>
        <w:pBdr>
          <w:bottom w:val="single" w:color="2E6DA4" w:sz="8" w:space="6"/>
        </w:pBdr>
        <w:spacing w:after="200" w:before="400"/>
      </w:pPr>
      <w:r>
        <w:rPr>
          <w:rFonts w:ascii="Arial" w:cs="Arial" w:eastAsia="Arial" w:hAnsi="Arial"/>
          <w:b/>
          <w:bCs/>
          <w:color w:val="1A3A5C"/>
          <w:sz w:val="32"/>
          <w:szCs w:val="32"/>
        </w:rPr>
        <w:t xml:space="preserve">III. INDIVIDUAL INVENTION DISCLOSURES</w:t>
      </w:r>
    </w:p>
    <w:p>
      <w:pPr>
        <w:spacing w:after="60" w:before="60"/>
        <w:jc w:val="left"/>
      </w:pPr>
      <w:r>
        <w:rPr>
          <w:rFonts w:ascii="Arial" w:cs="Arial" w:eastAsia="Arial" w:hAnsi="Arial"/>
          <w:sz w:val="22"/>
          <w:szCs w:val="22"/>
        </w:rPr>
        <w:t xml:space="preserve">Each invention is disclosed with sufficient detail to constitute enabling prior art under the standard applied by major patent offices. Code excerpts and architectural descriptions are drawn from the disclosed source files.</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Invention 1: Formally Verified WASM Kernel with Total Transition Function (I-AM-REKERNEL / CarpenXer)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Rust kernel compiled to WebAssembly under no_std + alloc constraints implementing a total deterministic transition function δ: E × S → KernelResult with three outcomes (Commit / Revert / Reject) and zero undefined behavior. Formal proof obligations are specified across Lean 4, Coq, and TLA+. Overflow semantics use checked arithmetic (Z256 with checked_add / checked_sub → Revert) rather than panics. A BDE audit wrapper adds HMAC-SHA256 audit entries for every kernel transition, bridged to browser JS via a length-prefixed ABI in wasm_abi/mod.rs.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 Art Basis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WASM kernels, formal verification of OS kernels (seL4), and HMAC audit trails each exist independently in prior literature. Rust no_std WASM targets are established practice.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Novel Elements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specific combination of: (a) browser-runnable WASM kernel, (b) total tripartite transition function, (c) HMAC audit trail per transition unforgeable without node secret, (d) Lean4/Coq/TLA+ proof obligation cross-referencing in a personal/research project, and (e) JS bridge with spec-identical crypto proof obligation (PO-B4), as a unified system.</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Disclosed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9, 2025 — Public Domain Release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Invention 2: Frozen Oracle Pattern for AI-Driven World Mutation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architectural pattern where an AI language model (Ollama/llama3.1) is used as a 'frozen oracle': it receives a world state and player action, produces a single JSON consequence record, and its system prompt is immutable for the lifetime of the game session. One oracle call equals one irreversible world mutation. All oracle calls are logged to an IPFS-anchored immutable ledger. The oracle cannot modify its own rules, cannot be re-prompted mid-session, and its outputs are anchored before being applied to game state.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 Art Basis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AI-driven game narrative systems, immutable audit logs, and content-addressed storage each exist. Ollama and similar local LLM inference servers are established.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Novel Elements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specific combination of: (a) immutable system prompt as a game invariant, (b) one-call-one-mutation atomicity contract, (c) IPFS anchoring before state application, (d) deterministic fallback response preserving interface compatibility when oracle is unavailable, as a coherent 'frozen oracle' pattern enforced architecturally.</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Disclosed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9, 2025 — Public Domain Release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Invention 3: OllamaProvider Priority Chain with Interface-Preserving Graceful Degradation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provider abstraction that attempts local Ollama inference first, falls back to in-browser WebLLM (Transformers.js), and further degrades to a deterministic rule-based fallback — all behind a single consistent API surface. Each tier preserves the same request/response interface so calling code is unaware of which tier is active. The deterministic fallback produces structured outputs that satisfy the same JSON schema as the AI tiers.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 Art Basis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Provider/adapter patterns and graceful degradation are established patterns. Multi-tier AI inference (local → cloud) has been described.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Novel Elements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specific three-tier degradation: (a) local Ollama, (b) in-browser WebLLM/Transformers.js, (c) zero-dependency deterministic rule-based fallback — all with interface-identical outputs and automatic tier selection, as a single reusable module.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Disclosed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9, 2025 — Public Domain Release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Invention 4: SmartSystem Guardian Pattern: AI-Assisted Runtime Error Remediation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agent execution harness where runtime errors in an agent loop are automatically submitted to an AI model (ollamaSwitch.guardianFix) which suggests code or configuration remediation. The AI's suggestions are applied and the failing operation is retried. This creates a meta-cognitive error recovery loop where the AI system assists in healing itself at runtime without human intervention.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 Art Basis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AI-assisted debugging, self-healing systems, and runtime error recovery systems are known. AI code generation is well-established.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Novel Elements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specific pattern of: (a) runtime errors in an AI agent loop triggering an AI remediation call, (b) automatic application of AI-suggested fixes, (c) retry of the original failing operation, (d) baked into the agent architecture rather than bolted on externally — creating a self-healing AI agent execution harness.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Disclosed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9, 2025 — Public Domain Release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Invention 5: BackAndForthPulse: Dual-Agent Iterative Refinement Loop with LLM Validation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structured LLM task execution loop where output from a primary agent passes through a secondary agent for refinement, then through an LLM-based validator before being committed. The loop is configurable for N refinement cycles with an abort capability. The validator produces a structured accept/reject/revise signal. This pattern provides a principled harness for LLM-based task completion with quality gating.</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 Art Basis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Multi-agent LLM systems, chain-of-thought prompting, and LLM output validation are described in literature. Constitutional AI and critique-revision loops are published.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Novel Elements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specific architecture of: (a) primary agent → secondary agent → LLM validator as a pipeline, (b) configurable cycle count, (c) structured validator output signal, (d) abort capability, (e) as a standalone reusable module ('BackAndForthPulse') rather than a bespoke application.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Disclosed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9, 2025 — Public Domain Release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Invention 6: PDMG: CRDT + Merkle DAG Distributed Memory Graph with Temporal-Merit Conflict Resolution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persistent distributed memory system using append-only CRDT nodes and edges forming a Merkle DAG. Conflict resolution applies Temporal-Merit ordering: trust score takes priority over recency. Vector clocks track causal relationships between nodes. A live Merkle root provides integrity verification. Causal overlay tracing supports reasoning chains up to a configurable depth. The system is designed for use as agent working memory.</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 Art Basis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CRDTs, Merkle DAGs, vector clocks, and distributed memory systems are established. Knowledge graphs and semantic memory for AI agents are described.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Novel Elements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specific combination of: (a) CRDT + Merkle DAG structure, (b) Temporal-Merit conflict resolution (trust-score-first, recency-second), (c) vector clock causal tracking, (d) live Merkle root, (e) configurable-depth causal overlay tracing, (f) designed specifically as AI agent working memory — as an integrated system.</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Disclosed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9, 2025 — Public Domain Release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Invention 7: NPS: Credit-Based Cooperative Scheduler with Starvation Detection for Browser Main Thread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main-thread-safe cooperative task scheduler using a credit budget per pulse type with defined priority ordering (UI &gt; Agent &gt; Memory &gt; Network &gt; Background). Each pulse type consumes credits. A starvation detection mechanism monitors queue age and applies a starvation boost that dynamically elevates starved queues. The scheduler yields to the browser event loop at credit exhaustion, preventing UI jank while maintaining forward progress for background tasks.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 Art Basis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Cooperative schedulers, credit-based scheduling, and priority queues are established. Browser requestAnimationFrame and task scheduling APIs are known.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Novel Elements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specific combination of: (a) credit budget per named pulse type, (b) defined semantic priority ordering for AI agent workloads, (c) starvation detection + dynamic boost, (d) main-thread-safe implementation without Web Workers, (e) designed for AI agent + game engine combined workloads in a browser context.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Disclosed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9, 2025 — Public Domain Release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Invention 8: DCP: Borrowed Mind Tokens — Cognitive Delegation with Quantified Impact Scores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capability delegation system where AI agents hold 'mind tokens' representing borrowed cognitive authority from a human principal. Tokens expire on a configurable schedule or can be one-tap revoked. Each permission type carries a cognitiveImpact score (0.0–1.0) representing human-legible risk: vault write = 0.9, agent control = 1.0, read-only = 0.1. The cognitive impact score is a novel human-legible risk metric for AI delegation decisions.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 Art Basis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Capability-based security, token-based authorization, and AI permission systems are known. OAuth scopes and revocable tokens are established.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Novel Elements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specific elements of: (a) 'cognitive impact' as a quantified metric per permission type, (b) framing AI delegation as 'borrowed mental capacity', (c) one-tap revocation designed for non-expert principals, (d) expiring tokens with configurable schedule, (e) as a unified system for human-AI cognitive authority management.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Disclosed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9, 2025 — Public Domain Release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Invention 9: TransformersService: Semantic Faction Attribution via Embedding Cosine Similarity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system that uses sentence embeddings (all-MiniLM-L6-v2 via Xenova/Transformers.js) to fingerprint geopolitical factions by their linguistic/behavioral signatures and match observed player actions to likely perpetrators by cosine similarity. The system also detects coordinated action clusters (similarity &gt; 0.7 threshold), classifies propaganda by similarity to known examples, and scores faction influence over a narrative segment.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 Art Basis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Sentence embeddings (SBERT, MiniLM), cosine similarity, and text classification are established. Attribution and authorship analysis using embeddings are described in NLP literature.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Novel Elements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specific application of: (a) faction behavioral signatures as embedding targets, (b) action-to-faction attribution by embedding similarity, (c) coordinated activity detection, (d) propaganda classification, (e) narrative influence scoring — as an integrated semantic attribution pipeline for a geopolitical simulation engine running in-browser via Transformers.js.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Disclosed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9, 2025 — Public Domain Release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Invention 10: ZSAM: Timing Drift Detection as Browser Security Signal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browser security mechanism that establishes a baseline of 100 SHA-256 operations at initialization to characterize expected hash computation timing. Subsequent hash operations are compared to this baseline, and deviations beyond 3 standard deviations are flagged as potential JIT variance, side-channel anomaly, or hostile environment indicators. Timing stability is used as a continuous security health signal.</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 Art Basis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Timing side-channel attacks are well-documented. Performance profiling and anomaly detection are established. Browser fingerprinting via timing is known.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Novel Elements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specific use of: (a) self-calibrating hash timing baseline at init, (b) 3-sigma drift threshold, (c) continuous monitoring as a security health signal (not just a one-time check), (d) applied within a browser WebRTC peer reputation system as an integrity indicator for peer trustworthiness assessment.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Disclosed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9, 2025 — Public Domain Release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Invention 11: EEV: Versioned Branched Encrypted Vault with Git-Like Experimental Branches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append-only encrypted storage vault supporting Git-like branch creation for experimental data storage. The vault maintains version history, supports soft deletes, verifies signatures on every retrieval, and exports as a single encrypted file with forward-compatible schema versioning. Branches can be created without committing to the main vault state, enabling safe experimentation with sensitive data.</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 Art Basis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Encrypted vaults, append-only storage, and Git branching are all established. Versioned storage and soft deletes are known patterns.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Novel Elements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specific combination of: (a) Git-like branching applied to an encrypted personal vault, (b) signature verification on every retrieval, (c) single-file encrypted export, (d) forward-compatible schema versioning, (e) soft deletes with recoverable history — as a unified personal encrypted vault design.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Disclosed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9, 2025 — Public Domain Release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Invention 12: CST + Pulse + IPFS + Substrate: Serverless Deterministic Clockless Token Protocol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complete token protocol architecture combining: (1) a CST core with sovereign tokens, capability capsules, and deterministic state hashing; (2) hash-chained pulse generation where each action emits a pulse referencing its predecessor; (3) IPFS batch rollover anchoring with configurable rollover size; and (4) Substrate pub-sub channel synchronization with hash-chain verification on receive. The entire stack operates serverlessly, without clocks, with full state reconstructibility from genesis.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 Art Basis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protocols, hash-chained ledgers, IPFS storage, and Substrate/Polkadot pub-sub are individually established. Serverless architectures are well-known.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Novel Elements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specific integration of: (a) clockless/action-triggered advance, (b) hash-chained pulses as the atomic unit, (c) IPFS batch rollover with configurable size, (d) Substrate pub-sub verification pipeline, (e) full replay reconstructibility — as a single coherent serverless token protocol designed to run entirely in a browser without any backend.</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Disclosed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9, 2025 — Public Domain Release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Invention 13: DID Format: did:i-am/{type}/{name}/{hash} — Typed Hierarchical Decentralized Identifier Scheme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decentralized identifier (DID) scheme with the format did:i-am/{type}/{name}/{hash} providing built-in namespace hierarchy, type classification, and content-address binding within a compact, human-readable string. The {type} segment enables typed identity namespaces (agent, node, service, user) without requiring separate registries. The {hash} segment binds the identifier to cryptographic content.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 Art Basis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DID methods are defined by W3C DID Core specification. Existing DID methods include did:web, did:key, did:ion, did:peer, etc. Hierarchical naming and typed identifiers are established.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Novel Elements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specific did:i-am method with: (a) three-segment hierarchy (type/name/hash), (b) type as a first-class segment enabling in-band namespace resolution, (c) human-readable name segment between type and hash, (d) designed for cross-system use across blockchain, game, and agent contexts within the same codebase — as a distinct unregistered DID method specification.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Disclosed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9, 2025 — Public Domain Release</w:t>
            </w:r>
          </w:p>
        </w:tc>
      </w:tr>
    </w:tbl>
    <w:p>
      <w:pPr>
        <w:spacing w:before="240"/>
      </w:pPr>
    </w:p>
    <w:p>
      <w:pPr>
        <w:pBdr>
          <w:bottom w:val="single" w:color="CCCCCC" w:sz="4" w:space="4"/>
        </w:pBdr>
        <w:spacing w:after="160" w:before="160"/>
      </w:pPr>
    </w:p>
    <w:p>
      <w:pPr>
        <w:pStyle w:val="Heading1"/>
        <w:pBdr>
          <w:bottom w:val="single" w:color="2E6DA4" w:sz="8" w:space="6"/>
        </w:pBdr>
        <w:spacing w:after="200" w:before="400"/>
      </w:pPr>
      <w:r>
        <w:rPr>
          <w:rFonts w:ascii="Arial" w:cs="Arial" w:eastAsia="Arial" w:hAnsi="Arial"/>
          <w:b/>
          <w:bCs/>
          <w:color w:val="1A3A5C"/>
          <w:sz w:val="32"/>
          <w:szCs w:val="32"/>
        </w:rPr>
        <w:t xml:space="preserve">IV. INTELLECTUAL PROPERTY RELEASE</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8"/>
              <w:left w:val="single" w:color="2E6DA4" w:sz="8"/>
              <w:bottom w:val="single" w:color="2E6DA4" w:sz="8"/>
              <w:right w:val="single" w:color="2E6DA4" w:sz="8"/>
            </w:tcBorders>
            <w:shd w:fill="D6E4F0" w:val="clear"/>
            <w:tcMar>
              <w:top w:type="dxa" w:w="240"/>
              <w:left w:type="dxa" w:w="360"/>
              <w:bottom w:type="dxa" w:w="240"/>
              <w:right w:type="dxa" w:w="360"/>
            </w:tcMar>
          </w:tcPr>
          <w:p>
            <w:pPr>
              <w:spacing w:after="160"/>
              <w:jc w:val="center"/>
            </w:pPr>
            <w:r>
              <w:rPr>
                <w:rFonts w:ascii="Arial" w:cs="Arial" w:eastAsia="Arial" w:hAnsi="Arial"/>
                <w:b/>
                <w:bCs/>
                <w:color w:val="1A3A5C"/>
                <w:sz w:val="26"/>
                <w:szCs w:val="26"/>
              </w:rPr>
              <w:t xml:space="preserve">PUBLIC DOMAIN DEDICATION (CC0 1.0 Universal)</w:t>
            </w:r>
          </w:p>
          <w:p>
            <w:pPr>
              <w:spacing w:after="120"/>
            </w:pPr>
            <w:r>
              <w:rPr>
                <w:rFonts w:ascii="Arial" w:cs="Arial" w:eastAsia="Arial" w:hAnsi="Arial"/>
                <w:sz w:val="20"/>
                <w:szCs w:val="20"/>
              </w:rPr>
              <w:t xml:space="preserve">The originating developer(s) of the works described in this document hereby dedicate those works to the public domain by waiving all copyright and related or neighboring rights to those works worldwide, to the extent allowed by law. The works include all source code, architectural designs, algorithms, data structures, documentation, and any other creative expression embodied in or derived from the systems identified herein.</w:t>
            </w:r>
          </w:p>
          <w:p>
            <w:pPr>
              <w:spacing w:after="120"/>
            </w:pPr>
            <w:r>
              <w:rPr>
                <w:rFonts w:ascii="Arial" w:cs="Arial" w:eastAsia="Arial" w:hAnsi="Arial"/>
                <w:b/>
                <w:bCs/>
                <w:sz w:val="20"/>
                <w:szCs w:val="20"/>
              </w:rPr>
              <w:t xml:space="preserve">YOU MAY copy, modify, distribute, and perform the works, even for commercial purposes, all without asking permission. There are no conditions, no attribution requirements, no copyleft obligations, and no licensing fees.</w:t>
            </w:r>
          </w:p>
          <w:p>
            <w:r>
              <w:rPr>
                <w:rFonts w:ascii="Arial" w:cs="Arial" w:eastAsia="Arial" w:hAnsi="Arial"/>
                <w:i/>
                <w:iCs/>
                <w:sz w:val="20"/>
                <w:szCs w:val="20"/>
              </w:rPr>
              <w:t xml:space="preserve">This dedication is irrevocable and intended to be permanent. It cannot be revoked by the original developer(s) or any successor. Any patent rights that may have existed in the disclosed inventions are also hereby dedicated to the public domain to the fullest extent possible under applicable law.</w:t>
            </w:r>
          </w:p>
        </w:tc>
      </w:tr>
    </w:tbl>
    <w:p>
      <w:pPr>
        <w:spacing w:before="200"/>
      </w:pPr>
    </w:p>
    <w:p>
      <w:pPr>
        <w:pStyle w:val="Heading2"/>
        <w:spacing w:after="120" w:before="300"/>
      </w:pPr>
      <w:r>
        <w:rPr>
          <w:rFonts w:ascii="Arial" w:cs="Arial" w:eastAsia="Arial" w:hAnsi="Arial"/>
          <w:b/>
          <w:bCs/>
          <w:color w:val="2E6DA4"/>
          <w:sz w:val="26"/>
          <w:szCs w:val="26"/>
        </w:rPr>
        <w:t xml:space="preserve">Scope of Release</w:t>
      </w:r>
    </w:p>
    <w:p>
      <w:pPr>
        <w:spacing w:after="60" w:before="60"/>
        <w:jc w:val="left"/>
      </w:pPr>
      <w:r>
        <w:rPr>
          <w:rFonts w:ascii="Arial" w:cs="Arial" w:eastAsia="Arial" w:hAnsi="Arial"/>
          <w:sz w:val="22"/>
          <w:szCs w:val="22"/>
        </w:rPr>
        <w:t xml:space="preserve">This release covers all intellectual property in the following systems and their components:</w:t>
      </w:r>
    </w:p>
    <w:p>
      <w:pPr>
        <w:pStyle w:val="ListParagraph"/>
        <w:numPr>
          <w:ilvl w:val="0"/>
          <w:numId w:val="2"/>
        </w:numPr>
        <w:spacing w:after="40" w:before="40"/>
      </w:pPr>
      <w:r>
        <w:rPr>
          <w:rFonts w:ascii="Arial" w:cs="Arial" w:eastAsia="Arial" w:hAnsi="Arial"/>
          <w:sz w:val="22"/>
          <w:szCs w:val="22"/>
        </w:rPr>
        <w:t xml:space="preserve">CarpenXer v3.4.0 — Rust WASM kernel, BDE adapter, OllamaProvider, SmartSystem guardian, BackAndForthPulse, TCCLogger, all JS components</w:t>
      </w:r>
    </w:p>
    <w:p>
      <w:pPr>
        <w:pStyle w:val="ListParagraph"/>
        <w:numPr>
          <w:ilvl w:val="0"/>
          <w:numId w:val="2"/>
        </w:numPr>
        <w:spacing w:after="40" w:before="40"/>
      </w:pPr>
      <w:r>
        <w:rPr>
          <w:rFonts w:ascii="Arial" w:cs="Arial" w:eastAsia="Arial" w:hAnsi="Arial"/>
          <w:sz w:val="22"/>
          <w:szCs w:val="22"/>
        </w:rPr>
        <w:t xml:space="preserve">ELOS (Ephemeral Layered Operating System) — blockchain layer, agent layer, ephemeral compute layer, IPFS integration, dashboard</w:t>
      </w:r>
    </w:p>
    <w:p>
      <w:pPr>
        <w:pStyle w:val="ListParagraph"/>
        <w:numPr>
          <w:ilvl w:val="0"/>
          <w:numId w:val="2"/>
        </w:numPr>
        <w:spacing w:after="40" w:before="40"/>
      </w:pPr>
      <w:r>
        <w:rPr>
          <w:rFonts w:ascii="Arial" w:cs="Arial" w:eastAsia="Arial" w:hAnsi="Arial"/>
          <w:sz w:val="22"/>
          <w:szCs w:val="22"/>
        </w:rPr>
        <w:t xml:space="preserve">I-AM-OS, I-AM-SYSTEMS, I-AM-SYSTEMS-PREMIUM, I-AM-SYSTEMS-COMPLETE — all variants and extensions</w:t>
      </w:r>
    </w:p>
    <w:p>
      <w:pPr>
        <w:pStyle w:val="ListParagraph"/>
        <w:numPr>
          <w:ilvl w:val="0"/>
          <w:numId w:val="2"/>
        </w:numPr>
        <w:spacing w:after="40" w:before="40"/>
      </w:pPr>
      <w:r>
        <w:rPr>
          <w:rFonts w:ascii="Arial" w:cs="Arial" w:eastAsia="Arial" w:hAnsi="Arial"/>
          <w:sz w:val="22"/>
          <w:szCs w:val="22"/>
        </w:rPr>
        <w:t xml:space="preserve">I-AM-ELOS Solavia Runtime — runtime bridge and execution surface</w:t>
      </w:r>
    </w:p>
    <w:p>
      <w:pPr>
        <w:pStyle w:val="ListParagraph"/>
        <w:numPr>
          <w:ilvl w:val="0"/>
          <w:numId w:val="2"/>
        </w:numPr>
        <w:spacing w:after="40" w:before="40"/>
      </w:pPr>
      <w:r>
        <w:rPr>
          <w:rFonts w:ascii="Arial" w:cs="Arial" w:eastAsia="Arial" w:hAnsi="Arial"/>
          <w:sz w:val="22"/>
          <w:szCs w:val="22"/>
        </w:rPr>
        <w:t xml:space="preserve">ECHO: Fracture State — PulseEngine, FactionSystem (all 9 factions), OllamaService, IPFSService, TransformersService</w:t>
      </w:r>
    </w:p>
    <w:p>
      <w:pPr>
        <w:pStyle w:val="ListParagraph"/>
        <w:numPr>
          <w:ilvl w:val="0"/>
          <w:numId w:val="2"/>
        </w:numPr>
        <w:spacing w:after="40" w:before="40"/>
      </w:pPr>
      <w:r>
        <w:rPr>
          <w:rFonts w:ascii="Arial" w:cs="Arial" w:eastAsia="Arial" w:hAnsi="Arial"/>
          <w:sz w:val="22"/>
          <w:szCs w:val="22"/>
        </w:rPr>
        <w:t xml:space="preserve">Sovereign Net v2.0 — base HTML application, extend.js, extend-ui.js, all extension modules</w:t>
      </w:r>
    </w:p>
    <w:p>
      <w:pPr>
        <w:pStyle w:val="ListParagraph"/>
        <w:numPr>
          <w:ilvl w:val="0"/>
          <w:numId w:val="2"/>
        </w:numPr>
        <w:spacing w:after="40" w:before="40"/>
      </w:pPr>
      <w:r>
        <w:rPr>
          <w:rFonts w:ascii="Arial" w:cs="Arial" w:eastAsia="Arial" w:hAnsi="Arial"/>
          <w:sz w:val="22"/>
          <w:szCs w:val="22"/>
        </w:rPr>
        <w:t xml:space="preserve">GRIDCAST — broadcasting and distribution layer</w:t>
      </w:r>
    </w:p>
    <w:p>
      <w:pPr>
        <w:pStyle w:val="ListParagraph"/>
        <w:numPr>
          <w:ilvl w:val="0"/>
          <w:numId w:val="2"/>
        </w:numPr>
        <w:spacing w:after="40" w:before="40"/>
      </w:pPr>
      <w:r>
        <w:rPr>
          <w:rFonts w:ascii="Arial" w:cs="Arial" w:eastAsia="Arial" w:hAnsi="Arial"/>
          <w:sz w:val="22"/>
          <w:szCs w:val="22"/>
        </w:rPr>
        <w:t xml:space="preserve">DropIt100 — distribution utility</w:t>
      </w:r>
    </w:p>
    <w:p>
      <w:pPr>
        <w:pStyle w:val="ListParagraph"/>
        <w:numPr>
          <w:ilvl w:val="0"/>
          <w:numId w:val="2"/>
        </w:numPr>
        <w:spacing w:after="40" w:before="40"/>
      </w:pPr>
      <w:r>
        <w:rPr>
          <w:rFonts w:ascii="Arial" w:cs="Arial" w:eastAsia="Arial" w:hAnsi="Arial"/>
          <w:sz w:val="22"/>
          <w:szCs w:val="22"/>
        </w:rPr>
        <w:t xml:space="preserve">CST + Pulse + IPFS + Substrate Sync — complete token protocol stack</w:t>
      </w:r>
    </w:p>
    <w:p>
      <w:pPr>
        <w:pStyle w:val="ListParagraph"/>
        <w:numPr>
          <w:ilvl w:val="0"/>
          <w:numId w:val="2"/>
        </w:numPr>
        <w:spacing w:after="40" w:before="40"/>
      </w:pPr>
      <w:r>
        <w:rPr>
          <w:rFonts w:ascii="Arial" w:cs="Arial" w:eastAsia="Arial" w:hAnsi="Arial"/>
          <w:sz w:val="22"/>
          <w:szCs w:val="22"/>
        </w:rPr>
        <w:t xml:space="preserve">minenow.js — ELOS-MAX nested pulse CLI harness</w:t>
      </w:r>
    </w:p>
    <w:p>
      <w:pPr>
        <w:pStyle w:val="ListParagraph"/>
        <w:numPr>
          <w:ilvl w:val="0"/>
          <w:numId w:val="2"/>
        </w:numPr>
        <w:spacing w:after="40" w:before="40"/>
      </w:pPr>
      <w:r>
        <w:rPr>
          <w:rFonts w:ascii="Arial" w:cs="Arial" w:eastAsia="Arial" w:hAnsi="Arial"/>
          <w:sz w:val="22"/>
          <w:szCs w:val="22"/>
        </w:rPr>
        <w:t xml:space="preserve">All associated README, documentation, specification, and design materials</w:t>
      </w:r>
    </w:p>
    <w:p>
      <w:pPr>
        <w:spacing w:before="120"/>
      </w:pPr>
    </w:p>
    <w:p>
      <w:pPr>
        <w:pStyle w:val="Heading2"/>
        <w:spacing w:after="120" w:before="300"/>
      </w:pPr>
      <w:r>
        <w:rPr>
          <w:rFonts w:ascii="Arial" w:cs="Arial" w:eastAsia="Arial" w:hAnsi="Arial"/>
          <w:b/>
          <w:bCs/>
          <w:color w:val="2E6DA4"/>
          <w:sz w:val="26"/>
          <w:szCs w:val="26"/>
        </w:rPr>
        <w:t xml:space="preserve">No Patent Assertion Covenant</w:t>
      </w:r>
    </w:p>
    <w:p>
      <w:pPr>
        <w:spacing w:after="60" w:before="60"/>
        <w:jc w:val="left"/>
      </w:pPr>
      <w:r>
        <w:rPr>
          <w:rFonts w:ascii="Arial" w:cs="Arial" w:eastAsia="Arial" w:hAnsi="Arial"/>
          <w:sz w:val="22"/>
          <w:szCs w:val="22"/>
        </w:rPr>
        <w:t xml:space="preserve">The originating developer(s) covenant not to assert any patent claims against any person or entity for practicing any invention described in this document. This covenant is binding on the original developer(s), their successors, assigns, and any entity that acquires rights through them.</w:t>
      </w:r>
    </w:p>
    <w:p>
      <w:pPr>
        <w:spacing w:after="60" w:before="60"/>
        <w:jc w:val="left"/>
      </w:pPr>
      <w:r>
        <w:rPr>
          <w:rFonts w:ascii="Arial" w:cs="Arial" w:eastAsia="Arial" w:hAnsi="Arial"/>
          <w:sz w:val="22"/>
          <w:szCs w:val="22"/>
        </w:rPr>
        <w:t xml:space="preserve">Any patent application filed by the original developer(s) that covers subject matter disclosed in this document is hereby subject to this covenant regardless of when the application was filed.</w:t>
      </w:r>
    </w:p>
    <w:p>
      <w:pPr>
        <w:pBdr>
          <w:bottom w:val="single" w:color="CCCCCC" w:sz="4" w:space="4"/>
        </w:pBdr>
        <w:spacing w:after="160" w:before="160"/>
      </w:pPr>
    </w:p>
    <w:p>
      <w:pPr>
        <w:pStyle w:val="Heading1"/>
        <w:pBdr>
          <w:bottom w:val="single" w:color="2E6DA4" w:sz="8" w:space="6"/>
        </w:pBdr>
        <w:spacing w:after="200" w:before="400"/>
      </w:pPr>
      <w:r>
        <w:rPr>
          <w:rFonts w:ascii="Arial" w:cs="Arial" w:eastAsia="Arial" w:hAnsi="Arial"/>
          <w:b/>
          <w:bCs/>
          <w:color w:val="1A3A5C"/>
          <w:sz w:val="32"/>
          <w:szCs w:val="32"/>
        </w:rPr>
        <w:t xml:space="preserve">V. EXECUTION AND AUTHENTICATION</w:t>
      </w:r>
    </w:p>
    <w:p>
      <w:pPr>
        <w:spacing w:after="60" w:before="60"/>
        <w:jc w:val="left"/>
      </w:pPr>
      <w:r>
        <w:rPr>
          <w:rFonts w:ascii="Arial" w:cs="Arial" w:eastAsia="Arial" w:hAnsi="Arial"/>
          <w:sz w:val="22"/>
          <w:szCs w:val="22"/>
        </w:rPr>
        <w:t xml:space="preserve">This Prior Art Disclosure and IP Release is executed by the originating developer(s) on the date indicated. The hash of this document constitutes a cryptographic timestamp of the disclosure.</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Originating Developer Signature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Date</w:t>
            </w:r>
          </w:p>
        </w:tc>
      </w:tr>
      <w:tr>
        <w:tc>
          <w:tcPr>
            <w:tcBorders>
              <w:top w:val="single" w:color="CCCCCC" w:sz="1"/>
              <w:left w:val="single" w:color="CCCCCC" w:sz="1"/>
              <w:bottom w:val="single" w:color="CCCCCC" w:sz="1"/>
              <w:right w:val="single" w:color="CCCCCC" w:sz="1"/>
            </w:tcBorders>
            <w:tcMar>
              <w:top w:type="dxa" w:w="200"/>
              <w:left w:type="dxa" w:w="120"/>
              <w:bottom w:type="dxa" w:w="200"/>
              <w:right w:type="dxa" w:w="120"/>
            </w:tcMar>
          </w:tcPr>
          <w:p>
            <w:pPr>
              <w:spacing w:after="80"/>
            </w:pPr>
            <w:r>
              <w:rPr>
                <w:rFonts w:ascii="Arial" w:cs="Arial" w:eastAsia="Arial" w:hAnsi="Arial"/>
                <w:sz w:val="20"/>
                <w:szCs w:val="20"/>
              </w:rPr>
              <w:t xml:space="preserve">Signature: ___________________________</w:t>
            </w:r>
          </w:p>
          <w:p>
            <w:pPr>
              <w:spacing w:after="80"/>
            </w:pPr>
            <w:r>
              <w:rPr>
                <w:rFonts w:ascii="Arial" w:cs="Arial" w:eastAsia="Arial" w:hAnsi="Arial"/>
                <w:sz w:val="20"/>
                <w:szCs w:val="20"/>
              </w:rPr>
              <w:t xml:space="preserve">Printed Name: ________________________</w:t>
            </w:r>
          </w:p>
        </w:tc>
        <w:tc>
          <w:tcPr>
            <w:tcBorders>
              <w:top w:val="single" w:color="CCCCCC" w:sz="1"/>
              <w:left w:val="single" w:color="CCCCCC" w:sz="1"/>
              <w:bottom w:val="single" w:color="CCCCCC" w:sz="1"/>
              <w:right w:val="single" w:color="CCCCCC" w:sz="1"/>
            </w:tcBorders>
            <w:tcMar>
              <w:top w:type="dxa" w:w="200"/>
              <w:left w:type="dxa" w:w="120"/>
              <w:bottom w:type="dxa" w:w="200"/>
              <w:right w:type="dxa" w:w="120"/>
            </w:tcMar>
          </w:tcPr>
          <w:p>
            <w:pPr>
              <w:spacing w:after="80"/>
            </w:pPr>
            <w:r>
              <w:rPr>
                <w:rFonts w:ascii="Arial" w:cs="Arial" w:eastAsia="Arial" w:hAnsi="Arial"/>
                <w:b/>
                <w:bCs/>
                <w:sz w:val="22"/>
                <w:szCs w:val="22"/>
              </w:rPr>
              <w:t xml:space="preserve">April 9, 2025</w:t>
            </w:r>
          </w:p>
          <w:p>
            <w:r>
              <w:rPr>
                <w:rFonts w:ascii="Arial" w:cs="Arial" w:eastAsia="Arial" w:hAnsi="Arial"/>
                <w:i/>
                <w:iCs/>
                <w:color w:val="666666"/>
                <w:sz w:val="18"/>
                <w:szCs w:val="18"/>
              </w:rPr>
              <w:t xml:space="preserve">(Disclosure Date)</w:t>
            </w:r>
          </w:p>
        </w:tc>
      </w:tr>
    </w:tbl>
    <w:p>
      <w:pPr>
        <w:spacing w:before="200"/>
      </w:pPr>
    </w:p>
    <w:p>
      <w:pPr>
        <w:pStyle w:val="Heading2"/>
        <w:spacing w:after="120" w:before="300"/>
      </w:pPr>
      <w:r>
        <w:rPr>
          <w:rFonts w:ascii="Arial" w:cs="Arial" w:eastAsia="Arial" w:hAnsi="Arial"/>
          <w:b/>
          <w:bCs/>
          <w:color w:val="2E6DA4"/>
          <w:sz w:val="26"/>
          <w:szCs w:val="26"/>
        </w:rPr>
        <w:t xml:space="preserve">Notarization / Witness (Optional but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Borders>
              <w:top w:val="single" w:color="CCCCCC" w:sz="1"/>
              <w:left w:val="single" w:color="CCCCCC" w:sz="1"/>
              <w:bottom w:val="single" w:color="CCCCCC" w:sz="1"/>
              <w:right w:val="single" w:color="CCCCCC" w:sz="1"/>
            </w:tcBorders>
            <w:tcMar>
              <w:top w:type="dxa" w:w="160"/>
              <w:left w:type="dxa" w:w="120"/>
              <w:bottom w:type="dxa" w:w="160"/>
              <w:right w:type="dxa" w:w="120"/>
            </w:tcMar>
          </w:tcPr>
          <w:p>
            <w:pPr>
              <w:spacing w:after="80"/>
            </w:pPr>
            <w:r>
              <w:rPr>
                <w:rFonts w:ascii="Arial" w:cs="Arial" w:eastAsia="Arial" w:hAnsi="Arial"/>
                <w:sz w:val="20"/>
                <w:szCs w:val="20"/>
              </w:rPr>
              <w:t xml:space="preserve">Witness / Notary Signature: ____________</w:t>
            </w:r>
          </w:p>
          <w:p>
            <w:r>
              <w:rPr>
                <w:rFonts w:ascii="Arial" w:cs="Arial" w:eastAsia="Arial" w:hAnsi="Arial"/>
                <w:sz w:val="20"/>
                <w:szCs w:val="20"/>
              </w:rPr>
              <w:t xml:space="preserve">Name: ________________________________</w:t>
            </w:r>
          </w:p>
        </w:tc>
        <w:tc>
          <w:tcPr>
            <w:tcBorders>
              <w:top w:val="single" w:color="CCCCCC" w:sz="1"/>
              <w:left w:val="single" w:color="CCCCCC" w:sz="1"/>
              <w:bottom w:val="single" w:color="CCCCCC" w:sz="1"/>
              <w:right w:val="single" w:color="CCCCCC" w:sz="1"/>
            </w:tcBorders>
            <w:tcMar>
              <w:top w:type="dxa" w:w="160"/>
              <w:left w:type="dxa" w:w="120"/>
              <w:bottom w:type="dxa" w:w="160"/>
              <w:right w:type="dxa" w:w="120"/>
            </w:tcMar>
          </w:tcPr>
          <w:p>
            <w:pPr>
              <w:spacing w:after="80"/>
            </w:pPr>
            <w:r>
              <w:rPr>
                <w:rFonts w:ascii="Arial" w:cs="Arial" w:eastAsia="Arial" w:hAnsi="Arial"/>
                <w:sz w:val="20"/>
                <w:szCs w:val="20"/>
              </w:rPr>
              <w:t xml:space="preserve">Commission Expires: ___________________</w:t>
            </w:r>
          </w:p>
          <w:p>
            <w:r>
              <w:rPr>
                <w:rFonts w:ascii="Arial" w:cs="Arial" w:eastAsia="Arial" w:hAnsi="Arial"/>
                <w:sz w:val="20"/>
                <w:szCs w:val="20"/>
              </w:rPr>
              <w:t xml:space="preserve">Seal:</w:t>
            </w:r>
          </w:p>
        </w:tc>
      </w:tr>
    </w:tbl>
    <w:p>
      <w:pPr>
        <w:spacing w:before="200"/>
      </w:pPr>
    </w:p>
    <w:p>
      <w:pPr>
        <w:pBdr>
          <w:bottom w:val="single" w:color="CCCCCC" w:sz="4" w:space="4"/>
        </w:pBdr>
        <w:spacing w:after="160" w:before="160"/>
      </w:pPr>
    </w:p>
    <w:p>
      <w:pPr>
        <w:pStyle w:val="Heading1"/>
        <w:pBdr>
          <w:bottom w:val="single" w:color="2E6DA4" w:sz="8" w:space="6"/>
        </w:pBdr>
        <w:spacing w:after="200" w:before="400"/>
      </w:pPr>
      <w:r>
        <w:rPr>
          <w:rFonts w:ascii="Arial" w:cs="Arial" w:eastAsia="Arial" w:hAnsi="Arial"/>
          <w:b/>
          <w:bCs/>
          <w:color w:val="1A3A5C"/>
          <w:sz w:val="32"/>
          <w:szCs w:val="32"/>
        </w:rPr>
        <w:t xml:space="preserve">VI. PUBLICATION AND FILING INSTRUCTIONS</w:t>
      </w:r>
    </w:p>
    <w:p>
      <w:pPr>
        <w:spacing w:after="60" w:before="60"/>
        <w:jc w:val="left"/>
      </w:pPr>
      <w:r>
        <w:rPr>
          <w:rFonts w:ascii="Arial" w:cs="Arial" w:eastAsia="Arial" w:hAnsi="Arial"/>
          <w:sz w:val="22"/>
          <w:szCs w:val="22"/>
        </w:rPr>
        <w:t xml:space="preserve">To maximize the legal effect of this prior art disclosure, the originating developer(s) should take the following steps after executing this document:</w:t>
      </w:r>
    </w:p>
    <w:p>
      <w:pPr>
        <w:spacing w:before="80"/>
      </w:pPr>
    </w:p>
    <w:p>
      <w:pPr>
        <w:spacing w:after="80" w:before="240"/>
      </w:pPr>
      <w:r>
        <w:rPr>
          <w:rFonts w:ascii="Arial" w:cs="Arial" w:eastAsia="Arial" w:hAnsi="Arial"/>
          <w:b/>
          <w:bCs/>
          <w:color w:val="333333"/>
          <w:sz w:val="22"/>
          <w:szCs w:val="22"/>
        </w:rPr>
        <w:t xml:space="preserve">Immediate Actions (Recommended)</w:t>
      </w:r>
    </w:p>
    <w:p>
      <w:pPr>
        <w:pStyle w:val="ListParagraph"/>
        <w:numPr>
          <w:ilvl w:val="0"/>
          <w:numId w:val="2"/>
        </w:numPr>
        <w:spacing w:after="40" w:before="40"/>
      </w:pPr>
      <w:r>
        <w:rPr>
          <w:rFonts w:ascii="Arial" w:cs="Arial" w:eastAsia="Arial" w:hAnsi="Arial"/>
          <w:sz w:val="22"/>
          <w:szCs w:val="22"/>
        </w:rPr>
        <w:t xml:space="preserve">Upload this signed document to a public, timestamped, immutable repository such as the Internet Archive (archive.org), GitHub with a public repository, or IPFS.</w:t>
      </w:r>
    </w:p>
    <w:p>
      <w:pPr>
        <w:pStyle w:val="ListParagraph"/>
        <w:numPr>
          <w:ilvl w:val="0"/>
          <w:numId w:val="2"/>
        </w:numPr>
        <w:spacing w:after="40" w:before="40"/>
      </w:pPr>
      <w:r>
        <w:rPr>
          <w:rFonts w:ascii="Arial" w:cs="Arial" w:eastAsia="Arial" w:hAnsi="Arial"/>
          <w:sz w:val="22"/>
          <w:szCs w:val="22"/>
        </w:rPr>
        <w:t xml:space="preserve">Submit to the USPTO's Prior Art Archive at priorart.ip.com or the IP.com Prior Art Database to create a searchable, dated prior art record.</w:t>
      </w:r>
    </w:p>
    <w:p>
      <w:pPr>
        <w:pStyle w:val="ListParagraph"/>
        <w:numPr>
          <w:ilvl w:val="0"/>
          <w:numId w:val="2"/>
        </w:numPr>
        <w:spacing w:after="40" w:before="40"/>
      </w:pPr>
      <w:r>
        <w:rPr>
          <w:rFonts w:ascii="Arial" w:cs="Arial" w:eastAsia="Arial" w:hAnsi="Arial"/>
          <w:sz w:val="22"/>
          <w:szCs w:val="22"/>
        </w:rPr>
        <w:t xml:space="preserve">Post to a public mailing list or forum (e.g., oss-security, LWN.net, or a dated public blog post) with a link to this document and a summary of the disclosures.</w:t>
      </w:r>
    </w:p>
    <w:p>
      <w:pPr>
        <w:pStyle w:val="ListParagraph"/>
        <w:numPr>
          <w:ilvl w:val="0"/>
          <w:numId w:val="2"/>
        </w:numPr>
        <w:spacing w:after="40" w:before="40"/>
      </w:pPr>
      <w:r>
        <w:rPr>
          <w:rFonts w:ascii="Arial" w:cs="Arial" w:eastAsia="Arial" w:hAnsi="Arial"/>
          <w:sz w:val="22"/>
          <w:szCs w:val="22"/>
        </w:rPr>
        <w:t xml:space="preserve">Consider filing a Defensive Publication with IP.com or similar service, which creates a formal, searchable prior art record with a fixed date.</w:t>
      </w:r>
    </w:p>
    <w:p>
      <w:pPr>
        <w:spacing w:before="120"/>
      </w:pPr>
    </w:p>
    <w:p>
      <w:pPr>
        <w:spacing w:after="80" w:before="240"/>
      </w:pPr>
      <w:r>
        <w:rPr>
          <w:rFonts w:ascii="Arial" w:cs="Arial" w:eastAsia="Arial" w:hAnsi="Arial"/>
          <w:b/>
          <w:bCs/>
          <w:color w:val="333333"/>
          <w:sz w:val="22"/>
          <w:szCs w:val="22"/>
        </w:rPr>
        <w:t xml:space="preserve">Optional Strengthening Steps</w:t>
      </w:r>
    </w:p>
    <w:p>
      <w:pPr>
        <w:pStyle w:val="ListParagraph"/>
        <w:numPr>
          <w:ilvl w:val="0"/>
          <w:numId w:val="2"/>
        </w:numPr>
        <w:spacing w:after="40" w:before="40"/>
      </w:pPr>
      <w:r>
        <w:rPr>
          <w:rFonts w:ascii="Arial" w:cs="Arial" w:eastAsia="Arial" w:hAnsi="Arial"/>
          <w:sz w:val="22"/>
          <w:szCs w:val="22"/>
        </w:rPr>
        <w:t xml:space="preserve">File the document with a notary or via certified mail to yourself (the 'poor man's patent') to establish a dated physical record.</w:t>
      </w:r>
    </w:p>
    <w:p>
      <w:pPr>
        <w:pStyle w:val="ListParagraph"/>
        <w:numPr>
          <w:ilvl w:val="0"/>
          <w:numId w:val="2"/>
        </w:numPr>
        <w:spacing w:after="40" w:before="40"/>
      </w:pPr>
      <w:r>
        <w:rPr>
          <w:rFonts w:ascii="Arial" w:cs="Arial" w:eastAsia="Arial" w:hAnsi="Arial"/>
          <w:sz w:val="22"/>
          <w:szCs w:val="22"/>
        </w:rPr>
        <w:t xml:space="preserve">Submit to relevant standards bodies (W3C, IETF) if any of the inventions are relevant to standards development — the DID method and pulse protocol in particular.</w:t>
      </w:r>
    </w:p>
    <w:p>
      <w:pPr>
        <w:pStyle w:val="ListParagraph"/>
        <w:numPr>
          <w:ilvl w:val="0"/>
          <w:numId w:val="2"/>
        </w:numPr>
        <w:spacing w:after="40" w:before="40"/>
      </w:pPr>
      <w:r>
        <w:rPr>
          <w:rFonts w:ascii="Arial" w:cs="Arial" w:eastAsia="Arial" w:hAnsi="Arial"/>
          <w:sz w:val="22"/>
          <w:szCs w:val="22"/>
        </w:rPr>
        <w:t xml:space="preserve">Create a GitHub release tagged with the disclosure date and include this document in the repository alongside the source code.</w:t>
      </w:r>
    </w:p>
    <w:p>
      <w:pPr>
        <w:pStyle w:val="ListParagraph"/>
        <w:numPr>
          <w:ilvl w:val="0"/>
          <w:numId w:val="2"/>
        </w:numPr>
        <w:spacing w:after="40" w:before="40"/>
      </w:pPr>
      <w:r>
        <w:rPr>
          <w:rFonts w:ascii="Arial" w:cs="Arial" w:eastAsia="Arial" w:hAnsi="Arial"/>
          <w:sz w:val="22"/>
          <w:szCs w:val="22"/>
        </w:rPr>
        <w:t xml:space="preserve">Hash this document (SHA-256) and publish the hash to a public blockchain or IPFS to create a tamper-evident timestamp.</w:t>
      </w:r>
    </w:p>
    <w:p>
      <w:pPr>
        <w:spacing w:before="120"/>
      </w:pPr>
    </w:p>
    <w:p>
      <w:pPr>
        <w:spacing w:after="80" w:before="240"/>
      </w:pPr>
      <w:r>
        <w:rPr>
          <w:rFonts w:ascii="Arial" w:cs="Arial" w:eastAsia="Arial" w:hAnsi="Arial"/>
          <w:b/>
          <w:bCs/>
          <w:color w:val="333333"/>
          <w:sz w:val="22"/>
          <w:szCs w:val="22"/>
        </w:rPr>
        <w:t xml:space="preserve">Note on Legal Force</w:t>
      </w:r>
    </w:p>
    <w:p>
      <w:pPr>
        <w:spacing w:after="60" w:before="60"/>
        <w:jc w:val="left"/>
      </w:pPr>
      <w:r>
        <w:rPr>
          <w:rFonts w:ascii="Arial" w:cs="Arial" w:eastAsia="Arial" w:hAnsi="Arial"/>
          <w:sz w:val="22"/>
          <w:szCs w:val="22"/>
        </w:rPr>
        <w:t xml:space="preserve">This document does not require filing with any government body to be legally effective as prior art. Its existence as a publicly accessible, dated document is sufficient to establish prior art under most patent systems worldwide, including the US (AIA first-inventor-to-file), EPO, and PCT. The key requirements are: (1) it must be publicly accessible, (2) it must be dated, and (3) it must disclose the invention with sufficient detail to enable a person skilled in the art to practice it.</w:t>
      </w:r>
    </w:p>
    <w:p>
      <w:pPr>
        <w:spacing w:after="60" w:before="60"/>
        <w:jc w:val="left"/>
      </w:pPr>
      <w:r>
        <w:rPr>
          <w:rFonts w:ascii="Arial" w:cs="Arial" w:eastAsia="Arial" w:hAnsi="Arial"/>
          <w:sz w:val="22"/>
          <w:szCs w:val="22"/>
        </w:rPr>
        <w:t xml:space="preserve">This disclosure is intended to satisfy all three requirements. Consult qualified patent counsel for jurisdiction-specific advice.</w:t>
      </w:r>
    </w:p>
    <w:p>
      <w:pPr>
        <w:pBdr>
          <w:bottom w:val="single" w:color="CCCCCC" w:sz="4" w:space="4"/>
        </w:pBdr>
        <w:spacing w:after="160" w:before="160"/>
      </w:pPr>
    </w:p>
    <w:p>
      <w:pPr>
        <w:spacing w:after="40" w:before="160"/>
        <w:jc w:val="center"/>
      </w:pPr>
      <w:r>
        <w:rPr>
          <w:rFonts w:ascii="Arial" w:cs="Arial" w:eastAsia="Arial" w:hAnsi="Arial"/>
          <w:b/>
          <w:bCs/>
          <w:color w:val="888888"/>
          <w:sz w:val="18"/>
          <w:szCs w:val="18"/>
        </w:rPr>
        <w:t xml:space="preserve">— END OF PRIOR ART DISCLOSURE AND IP RELEASE DOCUMENT —</w:t>
      </w:r>
    </w:p>
    <w:p>
      <w:pPr>
        <w:jc w:val="center"/>
      </w:pPr>
      <w:r>
        <w:rPr>
          <w:rFonts w:ascii="Arial" w:cs="Arial" w:eastAsia="Arial" w:hAnsi="Arial"/>
          <w:i/>
          <w:iCs/>
          <w:color w:val="AAAAAA"/>
          <w:sz w:val="16"/>
          <w:szCs w:val="16"/>
        </w:rPr>
        <w:t xml:space="preserve">CarpenXer v3.4.0 · ELOS · ECHO: Fracture State · Sovereign Net v2.0 | Public Domain | April 9,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Arial" w:cs="Arial" w:eastAsia="Arial" w:hAnsi="Arial"/>
        <w:color w:val="888888"/>
        <w:sz w:val="16"/>
        <w:szCs w:val="16"/>
      </w:rPr>
      <w:t xml:space="preserve">PUBLIC DOMAIN — No Rights Reserved — Free for all use without restriction</w:t>
    </w:r>
    <w:r>
      <w:rPr>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rFonts w:ascii="Arial" w:cs="Arial" w:eastAsia="Arial" w:hAnsi="Arial"/>
        <w:color w:val="888888"/>
        <w:sz w:val="16"/>
        <w:szCs w:val="16"/>
      </w:rPr>
      <w:t xml:space="preserve">PRIOR ART DISCLOSURE &amp; INTELLECTUAL PROPERTY RELEASE</w:t>
    </w:r>
    <w:r>
      <w:rPr>
        <w:sz w:val="16"/>
        <w:szCs w:val="16"/>
      </w:rPr>
      <w:t xml:space="preserve">	</w:t>
    </w:r>
    <w:r>
      <w:rPr>
        <w:rFonts w:ascii="Arial" w:cs="Arial" w:eastAsia="Arial" w:hAnsi="Arial"/>
        <w:b/>
        <w:bCs/>
        <w:color w:val="888888"/>
        <w:sz w:val="16"/>
        <w:szCs w:val="16"/>
      </w:rPr>
      <w:t xml:space="preserve">CarpenXer / ELOS / ECHO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2026-04-09T11:57:51.443Z</dcterms:created>
  <dcterms:modified xsi:type="dcterms:W3CDTF">2026-04-09T11:57:51.443Z</dcterms:modified>
</cp:coreProperties>
</file>

<file path=docProps/custom.xml><?xml version="1.0" encoding="utf-8"?>
<Properties xmlns="http://schemas.openxmlformats.org/officeDocument/2006/custom-properties" xmlns:vt="http://schemas.openxmlformats.org/officeDocument/2006/docPropsVTypes"/>
</file>