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3A5C"/>
          <w:sz w:val="64"/>
          <w:szCs w:val="64"/>
        </w:rPr>
        <w:t xml:space="preserve">PRIOR ART DISCLOSURE</w:t>
      </w:r>
    </w:p>
    <w:p>
      <w:pPr>
        <w:spacing w:after="120" w:before="0"/>
        <w:jc w:val="center"/>
      </w:pPr>
      <w:r>
        <w:rPr>
          <w:rFonts w:ascii="Arial" w:cs="Arial" w:eastAsia="Arial" w:hAnsi="Arial"/>
          <w:b/>
          <w:bCs/>
          <w:color w:val="2E6DA4"/>
          <w:sz w:val="40"/>
          <w:szCs w:val="40"/>
        </w:rPr>
        <w:t xml:space="preserve">&amp; INTELLECTUAL PROPERTY RELEASE</w:t>
      </w:r>
    </w:p>
    <w:p>
      <w:pPr>
        <w:spacing w:after="200" w:before="0"/>
        <w:jc w:val="center"/>
      </w:pPr>
      <w:r>
        <w:rPr>
          <w:rFonts w:ascii="Arial" w:cs="Arial" w:eastAsia="Arial" w:hAnsi="Arial"/>
          <w:b/>
          <w:bCs/>
          <w:color w:val="2E8B57"/>
          <w:sz w:val="52"/>
          <w:szCs w:val="52"/>
        </w:rPr>
        <w:t xml:space="preserve">PART II</w:t>
      </w:r>
    </w:p>
    <w:p>
      <w:pPr>
        <w:spacing w:after="60" w:before="0"/>
        <w:jc w:val="center"/>
      </w:pPr>
      <w:r>
        <w:rPr>
          <w:rFonts w:ascii="Arial" w:cs="Arial" w:eastAsia="Arial" w:hAnsi="Arial"/>
          <w:i/>
          <w:iCs/>
          <w:color w:val="555555"/>
          <w:sz w:val="20"/>
          <w:szCs w:val="20"/>
        </w:rPr>
        <w:t xml:space="preserve">QuantumShield · IsoKernel · HumanPulseProof · VerifiablePSI · TrustlessMPC · XheRail · SovereignHashCash</w:t>
      </w:r>
    </w:p>
    <w:p>
      <w:pPr>
        <w:spacing w:after="60" w:before="0"/>
        <w:jc w:val="center"/>
      </w:pPr>
      <w:r>
        <w:rPr>
          <w:rFonts w:ascii="Arial" w:cs="Arial" w:eastAsia="Arial" w:hAnsi="Arial"/>
          <w:i/>
          <w:iCs/>
          <w:color w:val="555555"/>
          <w:sz w:val="20"/>
          <w:szCs w:val="20"/>
        </w:rPr>
        <w:t xml:space="preserve">JSONFlow Multi-Compiler · DCX / CDX v2 / PLEX Runtime · Sovereign Compute v6 Aether · AI Contribution Reward Engine</w:t>
      </w:r>
    </w:p>
    <w:p>
      <w:pPr>
        <w:spacing w:after="280" w:before="0"/>
        <w:jc w:val="center"/>
      </w:pPr>
      <w:r>
        <w:rPr>
          <w:rFonts w:ascii="Arial" w:cs="Arial" w:eastAsia="Arial" w:hAnsi="Arial"/>
          <w:i/>
          <w:iCs/>
          <w:color w:val="777777"/>
          <w:sz w:val="20"/>
          <w:szCs w:val="20"/>
        </w:rPr>
        <w:t xml:space="preserve">Identity Kernel / ESK · Absolute Kernel / DCX Theory · Flash Swap Arbitrage Reduction · AI Pawn Shop Economy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Document Type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 Art Disclosure and Public Domain IP Release — Part II (Continuation of Part I)</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Disclosure 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9, 2025</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Part I Reference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 Art Disclosure covering CarpenXer v3.4.0, ELOS, ECHO: Fracture State, Sovereign Net v2.0 (same date)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Inventor / Author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of Originating Developer — to be filled before filing]</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License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DOMAIN — CC0 1.0 Universal. No rights reserved.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Continuation disclosure establishing prior art for the second batch of inventions from the same body of work, released simultaneously with Part I.</w:t>
            </w:r>
          </w:p>
        </w:tc>
      </w:tr>
    </w:tbl>
    <w:p>
      <w:pPr>
        <w:spacing w:before="240"/>
      </w:pPr>
    </w:p>
    <w:p>
      <w:pPr>
        <w:pStyle w:val="Heading1"/>
        <w:pBdr>
          <w:bottom w:val="single" w:color="2E6DA4" w:sz="8" w:space="6"/>
        </w:pBdr>
        <w:spacing w:after="200" w:before="400"/>
      </w:pPr>
      <w:r>
        <w:rPr>
          <w:rFonts w:ascii="Arial" w:cs="Arial" w:eastAsia="Arial" w:hAnsi="Arial"/>
          <w:b/>
          <w:bCs/>
          <w:color w:val="1A3A5C"/>
          <w:sz w:val="32"/>
          <w:szCs w:val="32"/>
        </w:rPr>
        <w:t xml:space="preserve">I. CONTINUATION NOTICE</w:t>
      </w:r>
    </w:p>
    <w:p>
      <w:pPr>
        <w:spacing w:after="60" w:before="60"/>
      </w:pPr>
      <w:r>
        <w:rPr>
          <w:rFonts w:ascii="Arial" w:cs="Arial" w:eastAsia="Arial" w:hAnsi="Arial"/>
          <w:sz w:val="22"/>
          <w:szCs w:val="22"/>
        </w:rPr>
        <w:t xml:space="preserve">This document is Part II of a two-part prior art disclosure and IP release. It should be read in conjunction with Part I (same author, same date), which covers the foundational Pulse Architecture, ELOS, ECHO: Fracture State, CarpenXer v3.4.0, Sovereign Net v2.0, and related systems. All definitions, license terms, and publication instructions in Part I apply equally to Part II. The CC0 1.0 Universal dedication in Part I covers all works in both parts.</w:t>
      </w:r>
    </w:p>
    <w:p>
      <w:pPr>
        <w:spacing w:after="60" w:before="60"/>
      </w:pPr>
      <w:r>
        <w:rPr>
          <w:rFonts w:ascii="Arial" w:cs="Arial" w:eastAsia="Arial" w:hAnsi="Arial"/>
          <w:sz w:val="22"/>
          <w:szCs w:val="22"/>
        </w:rPr>
        <w:t xml:space="preserve">Part II discloses fourteen additional inventions spanning post-quantum cryptography, privacy-preserving computation, human-proof-of-work, graph isomorphism approximation, multi-language WebAssembly compilation, deterministic data center execution, browser-native sovereign compute notebooks, AI-driven intellectual property valuation engines, and a formal reduction of flash swap arbitrage to an algebraic primitive.</w:t>
      </w:r>
    </w:p>
    <w:p>
      <w:pPr>
        <w:spacing w:after="60" w:before="60"/>
      </w:pPr>
      <w:r>
        <w:rPr>
          <w:rFonts w:ascii="Arial" w:cs="Arial" w:eastAsia="Arial" w:hAnsi="Arial"/>
          <w:b/>
          <w:bCs/>
          <w:sz w:val="22"/>
          <w:szCs w:val="22"/>
        </w:rPr>
        <w:t xml:space="preserve">Source files for Part II inventions:</w:t>
      </w:r>
    </w:p>
    <w:p>
      <w:pPr>
        <w:pStyle w:val="ListParagraph"/>
        <w:numPr>
          <w:ilvl w:val="0"/>
          <w:numId w:val="2"/>
        </w:numPr>
        <w:spacing w:after="40" w:before="40"/>
      </w:pPr>
      <w:r>
        <w:rPr>
          <w:rFonts w:ascii="Arial" w:cs="Arial" w:eastAsia="Arial" w:hAnsi="Arial"/>
          <w:sz w:val="22"/>
          <w:szCs w:val="22"/>
        </w:rPr>
        <w:t xml:space="preserve">i_need_to_remove_placeholders_mocks_simulation_for.txt — QuantumShield, IsoKernel, TrustlessMPC, VerifiablePSI, HumanPulseProof, XheRail, SovereignHashCash</w:t>
      </w:r>
    </w:p>
    <w:p>
      <w:pPr>
        <w:pStyle w:val="ListParagraph"/>
        <w:numPr>
          <w:ilvl w:val="0"/>
          <w:numId w:val="2"/>
        </w:numPr>
        <w:spacing w:after="40" w:before="40"/>
      </w:pPr>
      <w:r>
        <w:rPr>
          <w:rFonts w:ascii="Arial" w:cs="Arial" w:eastAsia="Arial" w:hAnsi="Arial"/>
          <w:sz w:val="22"/>
          <w:szCs w:val="22"/>
        </w:rPr>
        <w:t xml:space="preserve">MYFUCKINGSPEC.txt — AI Contribution Reward Engine full specification</w:t>
      </w:r>
    </w:p>
    <w:p>
      <w:pPr>
        <w:pStyle w:val="ListParagraph"/>
        <w:numPr>
          <w:ilvl w:val="0"/>
          <w:numId w:val="2"/>
        </w:numPr>
        <w:spacing w:after="40" w:before="40"/>
      </w:pPr>
      <w:r>
        <w:rPr>
          <w:rFonts w:ascii="Arial" w:cs="Arial" w:eastAsia="Arial" w:hAnsi="Arial"/>
          <w:sz w:val="22"/>
          <w:szCs w:val="22"/>
        </w:rPr>
        <w:t xml:space="preserve">README.md — JSONFlow Multi-Compiler (25 target languages, all targeting WebAssembly)</w:t>
      </w:r>
    </w:p>
    <w:p>
      <w:pPr>
        <w:pStyle w:val="ListParagraph"/>
        <w:numPr>
          <w:ilvl w:val="0"/>
          <w:numId w:val="2"/>
        </w:numPr>
        <w:spacing w:after="40" w:before="40"/>
      </w:pPr>
      <w:r>
        <w:rPr>
          <w:rFonts w:ascii="Arial" w:cs="Arial" w:eastAsia="Arial" w:hAnsi="Arial"/>
          <w:sz w:val="22"/>
          <w:szCs w:val="22"/>
        </w:rPr>
        <w:t xml:space="preserve">best_code_.txt — Absolute Kernel theory paper, CDX v2 / PLEX Runtime spec, Identity Kernel/ESK, I-AM Electron OS services</w:t>
      </w:r>
    </w:p>
    <w:p>
      <w:pPr>
        <w:pStyle w:val="ListParagraph"/>
        <w:numPr>
          <w:ilvl w:val="0"/>
          <w:numId w:val="2"/>
        </w:numPr>
        <w:spacing w:after="40" w:before="40"/>
      </w:pPr>
      <w:r>
        <w:rPr>
          <w:rFonts w:ascii="Arial" w:cs="Arial" w:eastAsia="Arial" w:hAnsi="Arial"/>
          <w:sz w:val="22"/>
          <w:szCs w:val="22"/>
        </w:rPr>
        <w:t xml:space="preserve">A_.txt — Sovereign Compute v6 'Aether' complete browser notebook application (single HTML file)</w:t>
      </w:r>
    </w:p>
    <w:p>
      <w:pPr>
        <w:pStyle w:val="ListParagraph"/>
        <w:numPr>
          <w:ilvl w:val="0"/>
          <w:numId w:val="2"/>
        </w:numPr>
        <w:spacing w:after="40" w:before="40"/>
      </w:pPr>
      <w:r>
        <w:rPr>
          <w:rFonts w:ascii="Arial" w:cs="Arial" w:eastAsia="Arial" w:hAnsi="Arial"/>
          <w:sz w:val="22"/>
          <w:szCs w:val="22"/>
        </w:rPr>
        <w:t xml:space="preserve">cccii.txt / cdz.txt / realcode.txt — P2P mesh manager, HD identity, React frontend, additional I-AM services</w:t>
      </w:r>
    </w:p>
    <w:p>
      <w:pPr>
        <w:pStyle w:val="ListParagraph"/>
        <w:numPr>
          <w:ilvl w:val="0"/>
          <w:numId w:val="2"/>
        </w:numPr>
        <w:spacing w:after="40" w:before="40"/>
      </w:pPr>
      <w:r>
        <w:rPr>
          <w:rFonts w:ascii="Arial" w:cs="Arial" w:eastAsia="Arial" w:hAnsi="Arial"/>
          <w:sz w:val="22"/>
          <w:szCs w:val="22"/>
        </w:rPr>
        <w:t xml:space="preserve">Untitled.txt — Flash swap arbitrage formal algebraic reduction</w:t>
      </w:r>
    </w:p>
    <w:p>
      <w:pPr>
        <w:pBdr>
          <w:bottom w:val="single" w:color="CCCCCC" w:sz="4" w:space="4"/>
        </w:pBdr>
        <w:spacing w:after="160" w:before="160"/>
      </w:pPr>
    </w:p>
    <w:p>
      <w:pPr>
        <w:pStyle w:val="Heading1"/>
        <w:pBdr>
          <w:bottom w:val="single" w:color="2E6DA4" w:sz="8" w:space="6"/>
        </w:pBdr>
        <w:spacing w:after="200" w:before="400"/>
      </w:pPr>
      <w:r>
        <w:rPr>
          <w:rFonts w:ascii="Arial" w:cs="Arial" w:eastAsia="Arial" w:hAnsi="Arial"/>
          <w:b/>
          <w:bCs/>
          <w:color w:val="1A3A5C"/>
          <w:sz w:val="32"/>
          <w:szCs w:val="32"/>
        </w:rPr>
        <w:t xml:space="preserve">II. PART II INVENTION DISCLOSURES</w:t>
      </w:r>
    </w:p>
    <w:p>
      <w:pPr>
        <w:spacing w:after="60" w:before="60"/>
      </w:pPr>
      <w:r>
        <w:rPr>
          <w:rFonts w:ascii="Arial" w:cs="Arial" w:eastAsia="Arial" w:hAnsi="Arial"/>
          <w:sz w:val="22"/>
          <w:szCs w:val="22"/>
        </w:rPr>
        <w:t xml:space="preserve">Each invention is disclosed with sufficient enabling detail to constitute prior art under standards applied by major patent offices. Fourteen inventions are disclosed, numbered 14–27 continuing from Part I.</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2"/>
                <w:szCs w:val="22"/>
              </w:rPr>
              <w:t xml:space="preserve">Invention 14: QuantumShield: NTRU-Inspired Bounded Lattice Encryption in Pure Browser JavaScript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post-quantum encryption scheme inspired by NTRU lattice cryptography implemented in pure JavaScript for browser and Node.js with zero WASM dependencies. Uses ternary polynomials over Z_q[x]/(x^n+1) with configurable polyDegree, modulus q, and ternary bound. Key generation: h = g^{-1} * f mod q. Encryption applies a random ternary blinding polynomial r. Includes full operation history/replay mechanism for every cryptographic operation (key generation, encrypt, decrypt). Default parameters (polyDegree=11, modulus=2048, bound=3) are documented as demonstration parameters with explicit upgrade path to production security levels.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 Art Basis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NTRU cryptosystem (Hoffstein, Pipher, Silverman 1998) is prior art. Polynomial ring arithmetic, ternary polynomials, and lattice-based encryption are academic standards. Post-quantum cryptography (NIST PQC) is an active standardization process.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Novel Elements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Specific combination: (a) NTRU-inspired scheme in pure browser-native JavaScript with zero external dependencies; (b) bounded polynomial degree enforced at API level preventing degree explosion; (c) integrated operation history/replay for all cryptographic operations enabling auditability; (d) designed as composable module for the ELOS/Pulse architecture alongside XheRail, VerifiablePSI, and HumanPulseProof.</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Disclosed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9, 2025 — Public Domain Release</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2"/>
                <w:szCs w:val="22"/>
              </w:rPr>
              <w:t xml:space="preserve">Invention 15: IsoKernel: Bounded Spectral + Degree-Sequence Graph Isomorphism Approximation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graph isomorphism approximation engine using two independent invariants: (1) approximate spectral signature via power iteration bounded to maxDepth iterations with hard error on depth exceeded — preventing non-termination on adversarial inputs; (2) sorted degree sequence. Graphs are declared isomorphic-approximate when both invariants match within configurable tolerance. Designed for drug/molecule matching and network comparison without exponential-time exact algorithms. Includes operation history/replay for all isomorphism checks.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 Art Basis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Spectral graph theory, eigenvalue-based graph invariants, degree sequences, and power iteration are established fields. Graph isomorphism (GI) complexity is a well-known open problem. Polynomial-time approximation via graph invariants is documented.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Novel Elements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Specific combination: (a) dual-invariant approximation (spectral + degree sequence) in a single module with configurable tolerance; (b) hard bounded power iteration with depth-exceeded error thrown (not silently approximated); (c) browser-native pure JS with integrated history/replay; (d) API specifically designed for molecular/drug-matching use case within the ELOS architecture.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Disclosed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9, 2025 — Public Domain Release</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2"/>
                <w:szCs w:val="22"/>
              </w:rPr>
              <w:t xml:space="preserve">Invention 16: HumanPulseProof: Triple-Constraint Proof of Human Combining Memory-Hard Work, Timing Bounds, and Nonce Chain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proof-of-human system combining three simultaneous and independently-insufficient constraints: (1) memory-hard work (SHA-256 over a 4MB memory block as Argon2id simulation) preventing cheap ASIC/cloud parallelization; (2) per-pulse timing bounds enforcing each pulse falls within human reaction time range (50–300ms default), defeating headless bots too fast and outsourced humans too slow; (3) a nonce chain where each pulse input is derived from the previous pulse output hash, preventing precomputation of any pulse independently. All pulses are Merkle-rooted for compact verifiable proof. The verifyProof API confirms validity without re-executing memory-hard work.</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 Art Basis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Memory-hard proof of work (Argon2, scrypt), CAPTCHA, and timing-based human verification are documented. Merkle trees and hash chains are standard. Each individual constraint is established prior art.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Novel Elements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specific simultaneous triple constraint that is collectively bot-defeating even when each constraint is individually defeatable: (a) timing window enforced per-pulse not globally; (b) nonce chain derived from previous output preventing parallelization of sequential pulses; (c) Merkle root over all pulse work hashes as compact proof; (d) verifyProof/generateProof separation allowing verification without re-doing memory work — as a unified sybil-resistant proof-of-human primitive.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Disclosed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9, 2025 — Public Domain Release</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2"/>
                <w:szCs w:val="22"/>
              </w:rPr>
              <w:t xml:space="preserve">Invention 17: VerifiablePSI: Private Set Intersection with Blinded Hash Commitments and Per-Element Merkle Proofs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private set intersection (PSI) protocol providing three simultaneous guarantees: intersection cardinality is learned, blinded hashes of intersecting elements are exchangeable, but plaintext intersection elements are never revealed to either party. Implementation: (1) each element is SHA-256 hashed (blinding); (2) each party builds a Merkle tree commitment over their blinded set; (3) intersection computed over blinded hash sets only; (4) per-element Merkle inclusion proofs allow third-party verification that matched elements were in the original committed set. Browser-native async, no external dependencies.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 Art Basis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Private set intersection is an established MPC primitive with extensive academic literature. Merkle trees, hash commitments, and set intersection are standard. Browser-native cryptography via WebCrypto is established.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Novel Elements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Specific combination: (a) three-property guarantee (size known, blinded hashes exchangeable, plaintexts never revealed) in a single self-contained browser module; (b) per-element Merkle inclusion proofs enabling third-party verification of intersection membership; (c) designed to compose with TrustlessMPC, HumanPulseProof, and QuantumShield in a unified privacy stack.</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Disclosed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9, 2025 — Public Domain Release</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2"/>
                <w:szCs w:val="22"/>
              </w:rPr>
              <w:t xml:space="preserve">Invention 18: TrustlessMPC + XheRail + SovereignHashCash: Unified Privacy-Preserving Mesh Communication Stack</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 coordinated primitives forming a complete privacy stack: TrustlessMPC — additive secret sharing for private aggregation where each party splits their value into n shares summing to original, distributes to all parties, reconstructs aggregate without revealing individual values; no trusted third party required. XheRail — identity-derived mesh routing where message destinations are DID/pubkey-hash addresses not URLs or IPs, enabling signal-agnostic delivery (Wi-Fi, Bluetooth, IoT) without central infrastructure. SovereignHashCash — configurable-difficulty hashcash proof-of-work for application-layer rate limiting in serverless mesh architectures, with difficulty configurable per-action without network consensus.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 Art Basis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Additive secret sharing (Shamir 1979), delay-tolerant networking, identity-based addressing, DIDs, hashcash (Back 1997), and proof-of-work for spam prevention are all established prior art individually.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Novel Elements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stack-level novelty: (a) all three primitives share compatible data types and proof formats enabling pipeline composition; (b) XheRail's identity-derived-address-as-sole-routing-primitive replacing all server and location concepts; (c) SovereignHashCash's application-layer configurable difficulty (not protocol-level) enabling per-action cost tuning without network coordination; (d) the three systems designed as a coordinated anti-spam + routing + aggregation stack for the ELOS/pulse architecture.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Disclosed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9, 2025 — Public Domain Release</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2"/>
                <w:szCs w:val="22"/>
              </w:rPr>
              <w:t xml:space="preserve">Invention 19: JSONFlow Multi-Compiler: Single JSON IR Transpiled to 25 Target Languages All Targeting WebAssembly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compiler system accepting a single JSONFlow program (JSON-serialized dataflow IR) and transpiling it simultaneously to 25 programming languages, each with a defined WebAssembly compilation path. JSONFlow schema supports: step types (set, if/else, while, foreach, return, assert, log, call, try/catch/finally, parallel, call_workflow) and expression types (get, value, add, subtract, multiply, divide, mod, and, or, not, neg, compare, in, length, concat, call, hash, regex). Schema validation runs universally before any language-specific compilation with per-target semantic warnings. System includes Python CLI, Python API, dry-run WASM mode (logs commands without executing), and 57-test suite. All 25 language translators and the schema validator are disclosed.</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 Art Basis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Compiler IRs, transpilers, multi-target compilation, JSON as an IR format, dataflow programming, and WebAssembly are all established. Individual language compilers to WASM (wasm-pack, TinyGo, Emscripten, etc.) exist independently.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Novel Elements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Specific combination: (a) a single minimal JSON IR spanning 25 distinct language targets making JSONFlow a universal WASM source language; (b) universal schema validation running before any target-specific compilation with per-language semantic warnings; (c) the specific JSONFlow schema (complete step type and expression type enumerations as defined above) as a language specification; (d) Python orchestrator with dry-run WASM mode as a complete portable multi-target WASM toolchain.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Disclosed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9, 2025 — Public Domain Release</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2"/>
                <w:szCs w:val="22"/>
              </w:rPr>
              <w:t xml:space="preserve">Invention 20: DCX / CDX v2 / PLEX Runtime: Deterministic Execution with Thermal-First Scheduling, Thermal Debt Ledger, and Explainable Reason Records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Deterministic Controlled eXecution (DCX) / Coherent Data eXecution v2 (CDX v2) is a formal execution model specification with six normative guarantees: G1 Determinism (bitwise-identical outputs for identical inputs), G2 Exhaustiveness (each input unit processed exactly once), G3 Bounded Resources (CPU, memory, I/O, power, thermal budgets capped at all times), G4 Linear Cost Scaling, G5 Replayability, G6 Explainability (every scheduling decision emits a reason record). Key architectural innovations: thermal debt ledger (accumulated heat cost requiring recovery, tracked as a scheduling input not a post-hoc throttle); power-water cost coupling in scheduling decisions; predictive heat avoidance (decisions made before limits are reached); distributed local control with no single global scheduler; Execution Unit (EU) as atomic work record with mandatory reason field. PLEX Runtime is the reference implementation. CDX v2 is specified as a model separate from PLEX.</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 Art Basis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Deterministic execution, thermal-aware scheduling, bounded scheduling, cooperative multitasking, explainable AI, and audit trails are established research areas. Event sourcing and pulsed execution are known.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Novel Elements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Specific combination: (a) thermal debt ledger as a first-class scheduling input (not reactive throttle); (b) power-water cost coupling in scheduling decisions at specification level; (c) mandatory reason record per EU as a G6 normative guarantee; (d) formal separation of CDX v2 as model specification from PLEX as implementation; (e) the specific six-guarantee formulation as a normative execution model applicable to data centers, AI pipelines, and regulatory-grade systems.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Disclosed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9, 2025 — Public Domain Release</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2"/>
                <w:szCs w:val="22"/>
              </w:rPr>
              <w:t xml:space="preserve">Invention 21: Absolute Kernel / DCX Theory: Unified Execution Ontology T_k = f(D_i, D_i - D_j, E(D_i, D_i - D_j))</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published theoretical framework authored by James Brian Chapman (PLEX Runtime) asserting reality, computation, and consciousness are manifestations of a single self-executing relational process defined as: T_k = f(D_i, D_i - D_j, E(D_i, D_i - D_j)) where D_i is density (totality of distinguishable states), D_i - D_j is relational difference (contrasts, gradients, tensions), and E is excitation (mechanism driving state transitions). The kernel has seven defined properties: Self-Containment, Scale Invariance, Recursivity, Ontological Neutrality, Total Emergence, Observer Inclusion, Perturbation Sensitivity. DCX is the finite bounded instantiation of these constraints at human scale. Time is defined as the trace of recursive execution. Ethics is execution hygiene. A structural mapping table maps traditional theological attributes to kernel execution properties.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 Art Basis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 philosophy, pancomputationalism, digital physics (Zuse, Fredkin, Wolfram), and information-theoretic interpretations of physics are established. Embodied cognition, enactivism, and execution metaphors for consciousness are documented.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Novel Elements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Specific formalization: (a) the three-term T_k formula as a unified process equation; (b) the structural theology/execution mapping table; (c) DCX as finite instantiation of Absolute Kernel constraints; (d) the specific seven-property list; (e) ethics-as-execution-hygiene formulation (waste = unnecessary excitation, opacity = non-auditable execution, harm = destabilizing shared fields) — as a published theoretical framework by a named author.</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Disclosed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9, 2025 — Public Domain Release</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2"/>
                <w:szCs w:val="22"/>
              </w:rPr>
              <w:t xml:space="preserve">Invention 22: Sovereign Compute v6 'Aether': Single-File Browser Distributed Compute Notebook with P2P Mesh Job Market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complete distributed computing platform implemented as a single self-contained HTML file. Core features: (1) Jupyter-style multi-cell notebook with Monaco editor (per-cell language selection) and automatic result visualization based on type (numeric display, line chart for number arrays, scatter for [x,y] pairs, table for object arrays, JSON tree for objects); (2) three execution engines per cell: sandboxed JS (async Function on main thread with frozen ENV and deterministic seeded PRNG), Pyodide CPython WASM, sql.js SQLite; (3) GunDB P2P mesh job market where cells can be submitted as jobs and claimed by peer nodes for credits, with ECDSA-signed results; (4) ECDH/ECDSA cryptographic identity persisted in localStorage with DID derivation (did:sovereign:{ecdhPub.slice(0,40)}); (5) hash-chained Merkle audit ledger of all events; (6) LRU job cache (500 entries, 2hr TTL) keyed by SHA-256(code+inputs); (7) Aether dark design system with CSS variables; (8) Claude API AI assistant with active-cell context injection; (9) ESM plugin marketplace; (10) configurable job scheduler.</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 Art Basis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Jupyter notebooks, Observable, in-browser Python (Pyodide), browser SQLite (sql.js), GunDB, WebCrypto API, DIDs, LRU caches, Monaco editor, and Claude API are all established.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Novel Elements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specific integration: (a) three heterogeneous engines (JS/Python/SQL) behind a unified cell API in one HTML file; (b) GunDB mesh job market with credit accounting, per-peer claiming, and ECDSA-signed results — all self-contained; (c) automatic visualization type selection based on result structure; (d) hash-chained ledger across all event types; (e) sandboxed main-thread JS executor with frozen ENV and seeded deterministic PRNG (not blob workers, enabling deployment in CSP-restricted sandboxes).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Disclosed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9, 2025 — Public Domain Release</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2"/>
                <w:szCs w:val="22"/>
              </w:rPr>
              <w:t xml:space="preserve">Invention 23: Identity Kernel / ESK: Normative Browser-Native Execution Kernel Specification with Capability-Based Authority and Karma Pulse Metadata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normative technical specification (not an implementation) defining a browser-native sovereign execution kernel. Six normative invariants (MUST): Deterministic Execution, Cryptographic Provenance, Offline-First Validity, No Ambient Authority, Replayability, Browser-Native Operation. Four key classes: Root (ultimate authority), Policy (scoped capabilities), Agent (autonomous/delegated), Session (ephemeral). Pulse schema (MUST fields): hash, parent hash(es), logical timestamp, issuer DID, action payload, capability reference, impact metadata including karma delta, signature. Capability model: every action requires a signed grant (Subject, Verb, Object, Constraints, Issuer, Signature); any action without valid capability is rejected; revocation cascades deterministically. Governance is executable deterministic kernel code. Karma is a deterministic value derived from pulse impact metadata — a mandatory ledger entry not an off-chain social score.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 Art Basis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Capability-based security (Dennis &amp; Van Horn 1966), SPKI, object-capability systems, DIDs, event sourcing, and formal kernel specifications (seL4) are established.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Novel Elements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Specific normative specification of: (a) capability revocation cascading deterministically (not eventually); (b) karma delta as a mandatory pulse field making reputation a first-class ledger entry; (c) governance as executable deterministic kernel code evaluated at transition time; (d) Offline-First Validity and No Ambient Authority as first-class normative browser kernel requirements; (e) formal model/implementation separation — as a published normative specification.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Disclosed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9, 2025 — Public Domain Release</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2"/>
                <w:szCs w:val="22"/>
              </w:rPr>
              <w:t xml:space="preserve">Invention 24: AI Contribution Reward Engine: Four-Agent Debate Protocol with Ethics Veto and Multiplicative Value Formula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complete system specification for AI-evaluated intellectual contribution compensation. Four-layer architecture: (1) Intake (ContributionParser + ContributionClassifier + PriorArtScanner with semantic embedding novelty detection); (2) Four-agent evaluation panel: ResearchAgent 35%, PeerReviewAgent 30%, EconomistAgent 20%, EthicsAgent 15% with absolute veto on harm score &gt; 0.3 — three-round debate (parallel individual assessment, sequential peer discussion, weighted consensus vote requiring 70% approval); (3) Multiplicative value formula: BaseValue[type] × noveltyScore × coherenceScore × knowledgeImpact × practicalValue × domainDemand (base values: Breakthrough Theory $50K, Novel Algorithm $25K, Practical Tool $15K, Research Paper $10K, Documentation $5K, Incremental $2K); (4) Perpetual royalty engine with no time decay, split 70% original author / 20% cited prior art / 10% platform. Token minting at $1=1 stable. Quantum-inspired substrate with superposition/entanglement/interference/tunneling metaphors for contribution state management.</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 Art Basis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Multi-agent systems, AI peer review, royalty smart contracts, reputation systems, tokenized IP, and multi-agent debate for AI evaluation (constitutional AI) are documented. Automated valuation models are established.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Novel Elements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Specific combination: (a) four-agent debate with defined vote weights and EthicsAgent absolute veto as a specified protocol; (b) three-round structure (parallel, sequential, consensus) with defined durations; (c) multiplicative value formula with six named multipliers with defined scaling ranges; (d) perpetual royalties with no time decay, specific 70/20/10 split including cited-prior-art compensation; (e) quantum substrate metaphor applied to contribution state management as a design specification; (f) integration with AI Pawn Shop token economy for circular value flow.</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Disclosed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9, 2025 — Public Domain Release</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2"/>
                <w:szCs w:val="22"/>
              </w:rPr>
              <w:t xml:space="preserve">Invention 27: Flash Swap Arbitrage Formal Reduction: Signed Event + Deterministic Projection + Invariant Check + Commit as Universal Execution Primitive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formal algebraic reduction demonstrating that profitable flash swap arbitrage reduces in six steps to exactly four components: (1) signed event (transaction with cryptographic authority); (2) deterministic projection F: S × E → S (identical result for identical state + event); (3) invariant verification (repayment: Δpool_reserves_after ≥ expected; profit: output_swap2 &gt; input_swap1 + fees); (4) conditional commit (append if verified, revert otherwise). Reduction path: Atomicity → Repayment Constraint → Profit Condition → Deterministic Execution → Signed Authority → Ordered Causality → compressed to Event → Verify → Apply → Commit. Extended to AI-proposed arbitrage: AIEvent{proposal: JSONFlow_arbitrage, contextHash, modelHash} where wallet verifies capability, simulates deterministic projection, checks invariants, conditionally signs and appends. Universal claim: any system unable to express all operations as Signed Event + Deterministic Projection + Invariant Check + Commit is not minimal.</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 Art Basis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Flash loans and flash swaps (Uniswap v2, Aave) are established. Formal verification of smart contracts, EVM determinism, transaction atomicity, and invariant-based security are documented. Formal methods for concurrent systems are established.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Novel Elements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specific six-step philosophical reduction to a four-term universal primitive; explicit extension to AI-proposed JSONFlow programs through the same verification pipeline; the universality claim stating this four-term form is the irreducible primitive for any minimal system — as a published theoretical reduction framework connecting DeFi, formal verification, AI agency, and the sovereign kernel architecture.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Disclosed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9, 2025 — Public Domain Release</w:t>
            </w:r>
          </w:p>
        </w:tc>
      </w:tr>
    </w:tbl>
    <w:p>
      <w:pPr>
        <w:spacing w:before="240"/>
      </w:pPr>
    </w:p>
    <w:p>
      <w:pPr>
        <w:pBdr>
          <w:bottom w:val="single" w:color="CCCCCC" w:sz="4" w:space="4"/>
        </w:pBdr>
        <w:spacing w:after="160" w:before="160"/>
      </w:pPr>
    </w:p>
    <w:p>
      <w:pPr>
        <w:pStyle w:val="Heading1"/>
        <w:pBdr>
          <w:bottom w:val="single" w:color="2E6DA4" w:sz="8" w:space="6"/>
        </w:pBdr>
        <w:spacing w:after="200" w:before="400"/>
      </w:pPr>
      <w:r>
        <w:rPr>
          <w:rFonts w:ascii="Arial" w:cs="Arial" w:eastAsia="Arial" w:hAnsi="Arial"/>
          <w:b/>
          <w:bCs/>
          <w:color w:val="1A3A5C"/>
          <w:sz w:val="32"/>
          <w:szCs w:val="32"/>
        </w:rPr>
        <w:t xml:space="preserve">III. SUPPLEMENTARY CROSS-CUTTING PATTERN DISCLOSURES</w:t>
      </w:r>
    </w:p>
    <w:p>
      <w:pPr>
        <w:spacing w:after="60" w:before="60"/>
      </w:pPr>
      <w:r>
        <w:rPr>
          <w:rFonts w:ascii="Arial" w:cs="Arial" w:eastAsia="Arial" w:hAnsi="Arial"/>
          <w:sz w:val="22"/>
          <w:szCs w:val="22"/>
        </w:rPr>
        <w:t xml:space="preserve">The following architectural patterns recur across Part II inventions and are disclosed in generalized form for maximum prior art coverage:</w:t>
      </w:r>
    </w:p>
    <w:p>
      <w:pPr>
        <w:spacing w:before="80"/>
      </w:pPr>
    </w:p>
    <w:p>
      <w:pPr>
        <w:pStyle w:val="Heading2"/>
        <w:spacing w:after="100" w:before="280"/>
      </w:pPr>
      <w:r>
        <w:rPr>
          <w:rFonts w:ascii="Arial" w:cs="Arial" w:eastAsia="Arial" w:hAnsi="Arial"/>
          <w:b/>
          <w:bCs/>
          <w:color w:val="2E6DA4"/>
          <w:sz w:val="26"/>
          <w:szCs w:val="26"/>
        </w:rPr>
        <w:t xml:space="preserve">A. Triple-Constraint Proof System Pattern</w:t>
      </w:r>
    </w:p>
    <w:p>
      <w:pPr>
        <w:spacing w:after="60" w:before="60"/>
      </w:pPr>
      <w:r>
        <w:rPr>
          <w:rFonts w:ascii="Arial" w:cs="Arial" w:eastAsia="Arial" w:hAnsi="Arial"/>
          <w:sz w:val="22"/>
          <w:szCs w:val="22"/>
        </w:rPr>
        <w:t xml:space="preserve">The general pattern of combining three independently-insufficient constraints that are collectively defeating is disclosed in its general form. As instantiated in HumanPulseProof: constraint (1) eliminates cheap machines, constraint (2) eliminates bots and farms, constraint (3) eliminates parallel precomputation. Any proof system combining three constraints where each is individually defeatable but collectively they close all evasion paths follows this pattern.</w:t>
      </w:r>
    </w:p>
    <w:p>
      <w:pPr>
        <w:pStyle w:val="Heading2"/>
        <w:spacing w:after="100" w:before="280"/>
      </w:pPr>
      <w:r>
        <w:rPr>
          <w:rFonts w:ascii="Arial" w:cs="Arial" w:eastAsia="Arial" w:hAnsi="Arial"/>
          <w:b/>
          <w:bCs/>
          <w:color w:val="2E6DA4"/>
          <w:sz w:val="26"/>
          <w:szCs w:val="26"/>
        </w:rPr>
        <w:t xml:space="preserve">B. Privacy Stack Composition Pattern</w:t>
      </w:r>
    </w:p>
    <w:p>
      <w:pPr>
        <w:spacing w:after="60" w:before="60"/>
      </w:pPr>
      <w:r>
        <w:rPr>
          <w:rFonts w:ascii="Arial" w:cs="Arial" w:eastAsia="Arial" w:hAnsi="Arial"/>
          <w:sz w:val="22"/>
          <w:szCs w:val="22"/>
        </w:rPr>
        <w:t xml:space="preserve">QuantumShield (encryption) + XheRail (routing) + TrustlessMPC (aggregation) + VerifiablePSI (intersection) + HumanPulseProof (sybil resistance) + SovereignHashCash (anti-spam) are designed to compose with compatible data types and proof formats enabling pipeline composition. This compositional privacy primitive architecture — where each component is independently deployable and all share compatible proof formats — is disclosed as a generalized pattern.</w:t>
      </w:r>
    </w:p>
    <w:p>
      <w:pPr>
        <w:pStyle w:val="Heading2"/>
        <w:spacing w:after="100" w:before="280"/>
      </w:pPr>
      <w:r>
        <w:rPr>
          <w:rFonts w:ascii="Arial" w:cs="Arial" w:eastAsia="Arial" w:hAnsi="Arial"/>
          <w:b/>
          <w:bCs/>
          <w:color w:val="2E6DA4"/>
          <w:sz w:val="26"/>
          <w:szCs w:val="26"/>
        </w:rPr>
        <w:t xml:space="preserve">C. Universal WASM IR Pattern</w:t>
      </w:r>
    </w:p>
    <w:p>
      <w:pPr>
        <w:spacing w:after="60" w:before="60"/>
      </w:pPr>
      <w:r>
        <w:rPr>
          <w:rFonts w:ascii="Arial" w:cs="Arial" w:eastAsia="Arial" w:hAnsi="Arial"/>
          <w:sz w:val="22"/>
          <w:szCs w:val="22"/>
        </w:rPr>
        <w:t xml:space="preserve">The JSONFlow schema discloses the general pattern of defining a minimal JSON IR with typed inputs/outputs, named step types, and expression types such that every possible target language has a defined WASM compilation path. JSONFlow is the specific instance; the general pattern of a JSON IR as a universal portable WASM source language is disclosed.</w:t>
      </w:r>
    </w:p>
    <w:p>
      <w:pPr>
        <w:pStyle w:val="Heading2"/>
        <w:spacing w:after="100" w:before="280"/>
      </w:pPr>
      <w:r>
        <w:rPr>
          <w:rFonts w:ascii="Arial" w:cs="Arial" w:eastAsia="Arial" w:hAnsi="Arial"/>
          <w:b/>
          <w:bCs/>
          <w:color w:val="2E6DA4"/>
          <w:sz w:val="26"/>
          <w:szCs w:val="26"/>
        </w:rPr>
        <w:t xml:space="preserve">D. Formal Reduction as Design Discipline</w:t>
      </w:r>
    </w:p>
    <w:p>
      <w:pPr>
        <w:spacing w:after="60" w:before="60"/>
      </w:pPr>
      <w:r>
        <w:rPr>
          <w:rFonts w:ascii="Arial" w:cs="Arial" w:eastAsia="Arial" w:hAnsi="Arial"/>
          <w:sz w:val="22"/>
          <w:szCs w:val="22"/>
        </w:rPr>
        <w:t xml:space="preserve">The flash swap reduction demonstrates the methodology: take any complex system behavior, reduce step-by-step to an irreducible algebraic form, then enforce that form as a specification constraint on all implementations. This methodology is disclosed as a general design practice applicable to any complex system specification.</w:t>
      </w:r>
    </w:p>
    <w:p>
      <w:pPr>
        <w:pBdr>
          <w:bottom w:val="single" w:color="CCCCCC" w:sz="4" w:space="4"/>
        </w:pBdr>
        <w:spacing w:after="160" w:before="160"/>
      </w:pPr>
    </w:p>
    <w:p>
      <w:pPr>
        <w:pStyle w:val="Heading1"/>
        <w:pBdr>
          <w:bottom w:val="single" w:color="2E6DA4" w:sz="8" w:space="6"/>
        </w:pBdr>
        <w:spacing w:after="200" w:before="400"/>
      </w:pPr>
      <w:r>
        <w:rPr>
          <w:rFonts w:ascii="Arial" w:cs="Arial" w:eastAsia="Arial" w:hAnsi="Arial"/>
          <w:b/>
          <w:bCs/>
          <w:color w:val="1A3A5C"/>
          <w:sz w:val="32"/>
          <w:szCs w:val="32"/>
        </w:rPr>
        <w:t xml:space="preserve">IV. CONSOLIDATED PUBLIC DOMAIN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8"/>
              <w:left w:val="single" w:color="2E6DA4" w:sz="8"/>
              <w:bottom w:val="single" w:color="2E6DA4" w:sz="8"/>
              <w:right w:val="single" w:color="2E6DA4" w:sz="8"/>
            </w:tcBorders>
            <w:shd w:fill="D6E4F0" w:val="clear"/>
            <w:tcMar>
              <w:top w:type="dxa" w:w="200"/>
              <w:left w:type="dxa" w:w="320"/>
              <w:bottom w:type="dxa" w:w="200"/>
              <w:right w:type="dxa" w:w="320"/>
            </w:tcMar>
          </w:tcPr>
          <w:p>
            <w:pPr>
              <w:spacing w:after="140"/>
              <w:jc w:val="center"/>
            </w:pPr>
            <w:r>
              <w:rPr>
                <w:rFonts w:ascii="Arial" w:cs="Arial" w:eastAsia="Arial" w:hAnsi="Arial"/>
                <w:b/>
                <w:bCs/>
                <w:color w:val="1A3A5C"/>
                <w:sz w:val="24"/>
                <w:szCs w:val="24"/>
              </w:rPr>
              <w:t xml:space="preserve">PUBLIC DOMAIN DEDICATION CONFIRMATION — PART II</w:t>
            </w:r>
          </w:p>
          <w:p>
            <w:pPr>
              <w:spacing w:after="100"/>
            </w:pPr>
            <w:r>
              <w:rPr>
                <w:rFonts w:ascii="Arial" w:cs="Arial" w:eastAsia="Arial" w:hAnsi="Arial"/>
                <w:sz w:val="20"/>
                <w:szCs w:val="20"/>
              </w:rPr>
              <w:t xml:space="preserve">The originating developer(s) hereby confirm that the CC0 1.0 Universal public domain dedication made in Part I extends unconditionally to all fourteen additional inventions (Inventions 14–27) described in this Part II document, and to all source code, algorithms, specifications, theoretical frameworks, and creative works embodied therein.</w:t>
            </w:r>
          </w:p>
          <w:p>
            <w:r>
              <w:rPr>
                <w:rFonts w:ascii="Arial" w:cs="Arial" w:eastAsia="Arial" w:hAnsi="Arial"/>
                <w:i/>
                <w:iCs/>
                <w:sz w:val="20"/>
                <w:szCs w:val="20"/>
              </w:rPr>
              <w:t xml:space="preserve">This includes without limitation: QuantumShield, IsoKernel, HumanPulseProof, VerifiablePSI, TrustlessMPC, XheRail, SovereignHashCash, JSONFlow Multi-Compiler (all 25 language translators and schema), DCX/CDX v2 model specification, PLEX Runtime architecture, Sovereign Compute v6 Aether, Identity Kernel/ESK specification, Absolute Kernel/DCX theoretical framework (authored by James Brian Chapman, PLEX Runtime), AI Contribution Reward Engine specification, and the Flash Swap Formal Reduction.</w:t>
            </w:r>
          </w:p>
        </w:tc>
      </w:tr>
    </w:tbl>
    <w:p>
      <w:pPr>
        <w:spacing w:before="200"/>
      </w:pPr>
    </w:p>
    <w:p>
      <w:pPr>
        <w:pStyle w:val="Heading1"/>
        <w:pBdr>
          <w:bottom w:val="single" w:color="2E6DA4" w:sz="8" w:space="6"/>
        </w:pBdr>
        <w:spacing w:after="200" w:before="400"/>
      </w:pPr>
      <w:r>
        <w:rPr>
          <w:rFonts w:ascii="Arial" w:cs="Arial" w:eastAsia="Arial" w:hAnsi="Arial"/>
          <w:b/>
          <w:bCs/>
          <w:color w:val="1A3A5C"/>
          <w:sz w:val="32"/>
          <w:szCs w:val="32"/>
        </w:rPr>
        <w:t xml:space="preserve">V. EXECUTION</w:t>
      </w:r>
    </w:p>
    <w:p>
      <w:pPr>
        <w:spacing w:after="60" w:before="60"/>
      </w:pPr>
      <w:r>
        <w:rPr>
          <w:rFonts w:ascii="Arial" w:cs="Arial" w:eastAsia="Arial" w:hAnsi="Arial"/>
          <w:sz w:val="22"/>
          <w:szCs w:val="22"/>
        </w:rPr>
        <w:t xml:space="preserve">This Part II disclosure is executed on the same date as Part I (April 9, 2025) by the same originating developer(s). The signature and notarization block in Part I covers both parts. For tamper-evident timestamping, compute SHA-256(Part_I_hash + Part_II_hash) and publish the combined hash to the Internet Archive, IPFS, and the USPTO Prior Art Archive simultaneously with both documents.</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Borders>
              <w:top w:val="single" w:color="CCCCCC" w:sz="1"/>
              <w:left w:val="single" w:color="CCCCCC" w:sz="1"/>
              <w:bottom w:val="single" w:color="CCCCCC" w:sz="1"/>
              <w:right w:val="single" w:color="CCCCCC" w:sz="1"/>
            </w:tcBorders>
            <w:tcMar>
              <w:top w:type="dxa" w:w="200"/>
              <w:left w:type="dxa" w:w="120"/>
              <w:bottom w:type="dxa" w:w="200"/>
              <w:right w:type="dxa" w:w="120"/>
            </w:tcMar>
          </w:tcPr>
          <w:p>
            <w:pPr>
              <w:spacing w:after="80"/>
            </w:pPr>
            <w:r>
              <w:rPr>
                <w:rFonts w:ascii="Arial" w:cs="Arial" w:eastAsia="Arial" w:hAnsi="Arial"/>
                <w:sz w:val="20"/>
                <w:szCs w:val="20"/>
              </w:rPr>
              <w:t xml:space="preserve">Signature: ___________________________</w:t>
            </w:r>
          </w:p>
          <w:p>
            <w:r>
              <w:rPr>
                <w:rFonts w:ascii="Arial" w:cs="Arial" w:eastAsia="Arial" w:hAnsi="Arial"/>
                <w:sz w:val="20"/>
                <w:szCs w:val="20"/>
              </w:rPr>
              <w:t xml:space="preserve">Printed Name: ________________________</w:t>
            </w:r>
          </w:p>
        </w:tc>
        <w:tc>
          <w:tcPr>
            <w:tcBorders>
              <w:top w:val="single" w:color="CCCCCC" w:sz="1"/>
              <w:left w:val="single" w:color="CCCCCC" w:sz="1"/>
              <w:bottom w:val="single" w:color="CCCCCC" w:sz="1"/>
              <w:right w:val="single" w:color="CCCCCC" w:sz="1"/>
            </w:tcBorders>
            <w:tcMar>
              <w:top w:type="dxa" w:w="200"/>
              <w:left w:type="dxa" w:w="120"/>
              <w:bottom w:type="dxa" w:w="200"/>
              <w:right w:type="dxa" w:w="120"/>
            </w:tcMar>
          </w:tcPr>
          <w:p>
            <w:pPr>
              <w:spacing w:after="80"/>
            </w:pPr>
            <w:r>
              <w:rPr>
                <w:rFonts w:ascii="Arial" w:cs="Arial" w:eastAsia="Arial" w:hAnsi="Arial"/>
                <w:b/>
                <w:bCs/>
                <w:sz w:val="22"/>
                <w:szCs w:val="22"/>
              </w:rPr>
              <w:t xml:space="preserve">April 9, 2025</w:t>
            </w:r>
          </w:p>
          <w:p>
            <w:r>
              <w:rPr>
                <w:rFonts w:ascii="Arial" w:cs="Arial" w:eastAsia="Arial" w:hAnsi="Arial"/>
                <w:i/>
                <w:iCs/>
                <w:color w:val="666666"/>
                <w:sz w:val="18"/>
                <w:szCs w:val="18"/>
              </w:rPr>
              <w:t xml:space="preserve">(Same date as Part I — both parts form one disclosure)</w:t>
            </w:r>
          </w:p>
        </w:tc>
      </w:tr>
    </w:tbl>
    <w:p>
      <w:pPr>
        <w:pBdr>
          <w:bottom w:val="single" w:color="CCCCCC" w:sz="4" w:space="4"/>
        </w:pBdr>
        <w:spacing w:after="160" w:before="160"/>
      </w:pPr>
    </w:p>
    <w:p>
      <w:pPr>
        <w:spacing w:after="40" w:before="160"/>
        <w:jc w:val="center"/>
      </w:pPr>
      <w:r>
        <w:rPr>
          <w:rFonts w:ascii="Arial" w:cs="Arial" w:eastAsia="Arial" w:hAnsi="Arial"/>
          <w:b/>
          <w:bCs/>
          <w:color w:val="888888"/>
          <w:sz w:val="18"/>
          <w:szCs w:val="18"/>
        </w:rPr>
        <w:t xml:space="preserve">— END OF PRIOR ART DISCLOSURE AND IP RELEASE — PART II —</w:t>
      </w:r>
    </w:p>
    <w:p>
      <w:pPr>
        <w:jc w:val="center"/>
      </w:pPr>
      <w:r>
        <w:rPr>
          <w:rFonts w:ascii="Arial" w:cs="Arial" w:eastAsia="Arial" w:hAnsi="Arial"/>
          <w:i/>
          <w:iCs/>
          <w:color w:val="AAAAAA"/>
          <w:sz w:val="16"/>
          <w:szCs w:val="16"/>
        </w:rPr>
        <w:t xml:space="preserve">Inventions 14–27 | Public Domain | April 9, 2025 | Continues Part I (Inventions 1–13)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rFonts w:ascii="Arial" w:cs="Arial" w:eastAsia="Arial" w:hAnsi="Arial"/>
        <w:color w:val="888888"/>
        <w:sz w:val="16"/>
        <w:szCs w:val="16"/>
      </w:rPr>
      <w:t xml:space="preserve">PUBLIC DOMAIN — No Rights Reserved — Free for all use without restriction</w:t>
    </w:r>
    <w:r>
      <w:rPr>
        <w:sz w:val="16"/>
        <w:szCs w:val="16"/>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pPr>
    <w:r>
      <w:rPr>
        <w:rFonts w:ascii="Arial" w:cs="Arial" w:eastAsia="Arial" w:hAnsi="Arial"/>
        <w:color w:val="888888"/>
        <w:sz w:val="16"/>
        <w:szCs w:val="16"/>
      </w:rPr>
      <w:t xml:space="preserve">PRIOR ART DISCLOSURE &amp; IP RELEASE — PART II</w:t>
    </w:r>
    <w:r>
      <w:rPr>
        <w:sz w:val="16"/>
        <w:szCs w:val="16"/>
      </w:rPr>
      <w:t xml:space="preserve">	</w:t>
    </w:r>
    <w:r>
      <w:rPr>
        <w:rFonts w:ascii="Arial" w:cs="Arial" w:eastAsia="Arial" w:hAnsi="Arial"/>
        <w:b/>
        <w:bCs/>
        <w:color w:val="888888"/>
        <w:sz w:val="16"/>
        <w:szCs w:val="16"/>
      </w:rPr>
      <w:t xml:space="preserve">QuantumShield · DCX/CDX v2 · JSONFlow · Sovereign Compute · AI Reward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2026-04-09T12:49:33.401Z</dcterms:created>
  <dcterms:modified xsi:type="dcterms:W3CDTF">2026-04-09T12:49:33.403Z</dcterms:modified>
</cp:coreProperties>
</file>

<file path=docProps/custom.xml><?xml version="1.0" encoding="utf-8"?>
<Properties xmlns="http://schemas.openxmlformats.org/officeDocument/2006/custom-properties" xmlns:vt="http://schemas.openxmlformats.org/officeDocument/2006/docPropsVTypes"/>
</file>