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حركة عصر جديد</w:t>
      </w:r>
    </w:p>
    <w:p>
      <w:pPr>
        <w:jc w:val="center"/>
      </w:pPr>
      <w:r>
        <w:drawing>
          <wp:inline xmlns:a="http://schemas.openxmlformats.org/drawingml/2006/main" xmlns:pic="http://schemas.openxmlformats.org/drawingml/2006/picture">
            <wp:extent cx="4572000" cy="1736819"/>
            <wp:docPr id="1" name="Picture 1"/>
            <wp:cNvGraphicFramePr>
              <a:graphicFrameLocks noChangeAspect="1"/>
            </wp:cNvGraphicFramePr>
            <a:graphic>
              <a:graphicData uri="http://schemas.openxmlformats.org/drawingml/2006/picture">
                <pic:pic>
                  <pic:nvPicPr>
                    <pic:cNvPr id="0" name="img.jpg"/>
                    <pic:cNvPicPr/>
                  </pic:nvPicPr>
                  <pic:blipFill>
                    <a:blip r:embed="rId9"/>
                    <a:stretch>
                      <a:fillRect/>
                    </a:stretch>
                  </pic:blipFill>
                  <pic:spPr>
                    <a:xfrm>
                      <a:off x="0" y="0"/>
                      <a:ext cx="4572000" cy="1736819"/>
                    </a:xfrm>
                    <a:prstGeom prst="rect"/>
                  </pic:spPr>
                </pic:pic>
              </a:graphicData>
            </a:graphic>
          </wp:inline>
        </w:drawing>
      </w:r>
    </w:p>
    <w:p>
      <w:r>
        <w:t>عد حركة العصر الجديد امتدادا حديثا لمذاهب الباطنية (الغنوصية) التي تغلغلت في العديد من الأديان والفلسفات الشرقية من الهندوسية والبوذية والطاوية والأفلاطونية الجديدة، وكذلك في الطوائف الباطنية التي ظهرت من داخل الأديان السماوية مثل القبالاه اليهودية والغنوصية المسيحية والتصوف الفلسفي والإسماعيلية الإسلامية.</w:t>
      </w:r>
    </w:p>
    <w:p>
      <w:r>
        <w:t xml:space="preserve">asdfadsfjladskjfl;adsjlf jadslfj adsljf ladsjf ladsjfl asld;f jadsklfj ;ladjf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