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mk7xn7hhn0q" w:id="0"/>
      <w:bookmarkEnd w:id="0"/>
      <w:r w:rsidDel="00000000" w:rsidR="00000000" w:rsidRPr="00000000">
        <w:rPr>
          <w:rtl w:val="0"/>
        </w:rPr>
        <w:t xml:space="preserve">INFORME TP 3 FLEX Y BISON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>
          <w:color w:val="000000"/>
        </w:rPr>
      </w:pPr>
      <w:bookmarkStart w:colFirst="0" w:colLast="0" w:name="_pcwjjl6c5lr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360" w:lineRule="auto"/>
        <w:jc w:val="center"/>
        <w:rPr>
          <w:color w:val="000000"/>
        </w:rPr>
      </w:pPr>
      <w:bookmarkStart w:colFirst="0" w:colLast="0" w:name="_qmwf89bf6hf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36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kd9v2ejh9k4w" w:id="3"/>
      <w:bookmarkEnd w:id="3"/>
      <w:r w:rsidDel="00000000" w:rsidR="00000000" w:rsidRPr="00000000">
        <w:rPr>
          <w:color w:val="000000"/>
          <w:rtl w:val="0"/>
        </w:rPr>
        <w:t xml:space="preserve">Materia: 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line="36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l155ngt7l39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36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qxzzdipawins" w:id="5"/>
      <w:bookmarkEnd w:id="5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Explicación del pensamiento detrás del trabajo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5012" cy="208346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012" cy="208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b w:val="1"/>
          <w:rtl w:val="0"/>
        </w:rPr>
        <w:t xml:space="preserve"> de entrega:</w:t>
      </w:r>
      <w:r w:rsidDel="00000000" w:rsidR="00000000" w:rsidRPr="00000000">
        <w:rPr>
          <w:rtl w:val="0"/>
        </w:rPr>
        <w:t xml:space="preserve"> 17/11/2023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Integrantes </w:t>
      </w:r>
      <w:r w:rsidDel="00000000" w:rsidR="00000000" w:rsidRPr="00000000">
        <w:rPr>
          <w:b w:val="1"/>
          <w:color w:val="202124"/>
          <w:rtl w:val="0"/>
        </w:rPr>
        <w:t xml:space="preserve">Grupo 25</w:t>
      </w:r>
      <w:r w:rsidDel="00000000" w:rsidR="00000000" w:rsidRPr="00000000">
        <w:rPr>
          <w:b w:val="1"/>
          <w:color w:val="2021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-CACACE, Guillermo Federico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-CALÓ, Ignacio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-GOMEZ PEREYRA, Manuel Francisco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MAJER, Cecilia Alejandra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-TROSSERO, Agustín Francisco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Primeramente, armamos la estructura del lenguaje MICRO Fisher, reconociendo y denotando todos sus tokens en Flex/Lex. Separamos en DÍGITO, LETRA, IDENTIFICADOR y constEntera, </w:t>
      </w:r>
      <w:r w:rsidDel="00000000" w:rsidR="00000000" w:rsidRPr="00000000">
        <w:rPr>
          <w:sz w:val="26"/>
          <w:szCs w:val="26"/>
          <w:rtl w:val="0"/>
        </w:rPr>
        <w:t xml:space="preserve">implementandolos</w:t>
      </w:r>
      <w:r w:rsidDel="00000000" w:rsidR="00000000" w:rsidRPr="00000000">
        <w:rPr>
          <w:sz w:val="26"/>
          <w:szCs w:val="26"/>
          <w:rtl w:val="0"/>
        </w:rPr>
        <w:t xml:space="preserve"> como REGEX; además de luego introducir los tokens necesarios de puntuación y operadores, junto al ‘inicio’ y ‘fin’ del programa. Aquí agregamos el mensaje de “Error léxico”, en el caso de que se introduzca al flujo un lexema no perteneciente al lenguaje.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Caso de prueba</w:t>
      </w:r>
      <w:r w:rsidDel="00000000" w:rsidR="00000000" w:rsidRPr="00000000">
        <w:rPr>
          <w:sz w:val="26"/>
          <w:szCs w:val="26"/>
          <w:rtl w:val="0"/>
        </w:rPr>
        <w:t xml:space="preserve">: Una división (el operador ‘/’ no pertenece al lenguaje)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85649" cy="147375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649" cy="1473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Posteriormente, en Bison definimos las estructuras válidas para un ‘programa’, el cual está compuesto por INICIO, sentencias y FIN. Describimos cuales son todas las sentencias válidas, y su estructura debida.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Personalizamos los errores sintácticos, como por ejemplo, un ID de más de 32 caracteres: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9573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0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Además, si la ESTRUCTURA de las declaraciones es errónea, muestra por pantalla un error sintáctico. En este ejemplo, decidimos no terminar la sentencia con un ‘;’ para que sea errónea: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72100" cy="1190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Luego elegimos como rutinas semánticas, la devolución de longitud y valor de los identificadores introducidos en el programa, y además, el resultado de las operaciones (expresiones) que se ingresan. A continuación ejemplos de diferentes casos:</w:t>
      </w:r>
    </w:p>
    <w:p w:rsidR="00000000" w:rsidDel="00000000" w:rsidP="00000000" w:rsidRDefault="00000000" w:rsidRPr="00000000" w14:paraId="00000020">
      <w:pPr>
        <w:pStyle w:val="Title"/>
        <w:spacing w:line="360" w:lineRule="auto"/>
        <w:jc w:val="both"/>
        <w:rPr>
          <w:i w:val="1"/>
        </w:rPr>
      </w:pPr>
      <w:bookmarkStart w:colFirst="0" w:colLast="0" w:name="_5kw9o2i2brbc" w:id="6"/>
      <w:bookmarkEnd w:id="6"/>
      <w:r w:rsidDel="00000000" w:rsidR="00000000" w:rsidRPr="00000000">
        <w:rPr>
          <w:i w:val="1"/>
          <w:rtl w:val="0"/>
        </w:rPr>
        <w:t xml:space="preserve">CASO 1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Ingresamos dos ID, uno llamado ‘id’, de longitud 2 y valor 444, y otro llamado ‘a’, de longitud 1 y valor 8.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95875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line="360" w:lineRule="auto"/>
        <w:jc w:val="both"/>
        <w:rPr>
          <w:i w:val="1"/>
        </w:rPr>
      </w:pPr>
      <w:bookmarkStart w:colFirst="0" w:colLast="0" w:name="_1sagsswj6uy6" w:id="7"/>
      <w:bookmarkEnd w:id="7"/>
      <w:r w:rsidDel="00000000" w:rsidR="00000000" w:rsidRPr="00000000">
        <w:rPr>
          <w:i w:val="1"/>
          <w:rtl w:val="0"/>
        </w:rPr>
        <w:t xml:space="preserve">CASO 2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Ingresamos tres operaciones diferentes, una suma, una resta y una combinación de ambas. Las rutinas semánticas nos devuelven la longitud de los ID a los que están asignadas esas expresiones, los valores de cada número detectado en la operación, y el resultado de la misma. En el caso de una combinada, también nos va arrojando la resolución parcialmente de izquierda a derecha.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72100" cy="434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spacing w:line="360" w:lineRule="auto"/>
        <w:jc w:val="both"/>
        <w:rPr>
          <w:i w:val="1"/>
        </w:rPr>
      </w:pPr>
      <w:bookmarkStart w:colFirst="0" w:colLast="0" w:name="_22k6pr6ebnt9" w:id="8"/>
      <w:bookmarkEnd w:id="8"/>
      <w:r w:rsidDel="00000000" w:rsidR="00000000" w:rsidRPr="00000000">
        <w:rPr>
          <w:i w:val="1"/>
          <w:rtl w:val="0"/>
        </w:rPr>
        <w:t xml:space="preserve">CASO 3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implementamos las rutinas semánticas de verificar la declaración previa , ya que no tenemos una pila donde almacenar estos datos temporalmente, pero sí es válido desde un punto tanto léxico como sintáctico.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95900" cy="1857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72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Flex y Bison</w:t>
      <w:tab/>
      <w:tab/>
      <w:tab/>
      <w:tab/>
      <w:tab/>
      <w:tab/>
      <w:tab/>
      <w:tab/>
      <w:t xml:space="preserve">  Grupo 25 K2055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/>
      <w:pict>
        <v:shape id="PowerPlusWaterMarkObject2" style="position:absolute;width:565.5441027502299pt;height:72.655957775178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Grupo 25 SYS 2023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/>
      <w:pict>
        <v:shape id="PowerPlusWaterMarkObject1" style="position:absolute;width:565.5441027502299pt;height:72.655957775178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Grupo 25 SYS 2023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