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11/15/2024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#11</w:t>
      </w:r>
    </w:p>
    <w:p w:rsidR="00000000" w:rsidDel="00000000" w:rsidP="00000000" w:rsidRDefault="00000000" w:rsidRPr="00000000" w14:paraId="00000005">
      <w:pPr>
        <w:spacing w:after="240" w:before="240" w:line="360" w:lineRule="auto"/>
        <w:ind w:firstLine="720"/>
        <w:rPr/>
      </w:pPr>
      <w:r w:rsidDel="00000000" w:rsidR="00000000" w:rsidRPr="00000000">
        <w:rPr>
          <w:rtl w:val="0"/>
        </w:rPr>
        <w:t xml:space="preserve">On Wednesday, I spent class researching how to create bounds for the YOLO model so that it only detects activity within the court, without labeling any spectators. I was able to find a lot of information on getting the coordinates of the bounding boxes generated by the model, but I struggled to find specifics on how to set the bounds for the model itself. While looking further into how YOLO works, I came across the concept of anchor boxes. YOLO uses anchor boxes as references to predict bounding boxes, and you can change their sizes by customizing them to better fit the objects in your dataset. This is typically done by using k-means clustering on the dataset to determine optimal anchor box dimensions. Additionally, YOLO divides the image into a grid, with each cell responsible for predicting a bounding box. I think it might also be useful to research how modifying this grid size could help me achieve my goal of limiting detection to only the court.</w:t>
      </w:r>
    </w:p>
    <w:p w:rsidR="00000000" w:rsidDel="00000000" w:rsidP="00000000" w:rsidRDefault="00000000" w:rsidRPr="00000000" w14:paraId="00000006">
      <w:pPr>
        <w:spacing w:line="360" w:lineRule="auto"/>
        <w:ind w:firstLine="720"/>
        <w:rPr/>
      </w:pPr>
      <w:r w:rsidDel="00000000" w:rsidR="00000000" w:rsidRPr="00000000">
        <w:rPr>
          <w:rtl w:val="0"/>
        </w:rPr>
        <w:t xml:space="preserve">I also came across the different types of rackets in badminton this past week, and did some research on them. Each type is designed to suit different playing styles and techniques, helping players perform better. For example, head-heavy rackets are ideal for powerful smashes, while head-light rackets are better for quick, defensive moves at the net. Even-balanced rackets are great for players who need a mix of power and control. I learned that the weight, material, head shape, shaft stiffness, and string tension of a racket also make a big difference. Lightweight rackets are easier to handle and swing, while heavier rackets add more power to shots. Rackets made of carbon fiber or graphite are stronger and perform better than ones made of aluminum or steel. The isometric head shape, with its larger sweet spot, makes hitting the shuttle easier. Shaft stiffness affects how much control or power the racket gives, and string tension can change how shots feel and perform. If we are able to, it might be really cool and helpful to also recommend the players a specific racket to use according to each of their playing styles. </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