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Ipek Sayar</w:t>
      </w:r>
    </w:p>
    <w:p w:rsidR="00000000" w:rsidDel="00000000" w:rsidP="00000000" w:rsidRDefault="00000000" w:rsidRPr="00000000" w14:paraId="00000002">
      <w:pPr>
        <w:spacing w:after="20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2/14/2025</w:t>
      </w:r>
    </w:p>
    <w:p w:rsidR="00000000" w:rsidDel="00000000" w:rsidP="00000000" w:rsidRDefault="00000000" w:rsidRPr="00000000" w14:paraId="00000003">
      <w:pPr>
        <w:spacing w:after="20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Pd. 5</w:t>
      </w:r>
    </w:p>
    <w:p w:rsidR="00000000" w:rsidDel="00000000" w:rsidP="00000000" w:rsidRDefault="00000000" w:rsidRPr="00000000" w14:paraId="00000004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Journal #20</w:t>
      </w:r>
    </w:p>
    <w:p w:rsidR="00000000" w:rsidDel="00000000" w:rsidP="00000000" w:rsidRDefault="00000000" w:rsidRPr="00000000" w14:paraId="00000005">
      <w:pPr>
        <w:spacing w:after="240" w:before="24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data in the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ShuttleSet22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 consists of many attributes (rally #, ball_round, time, frame_num, roundscore_A, roundscore_B, player, server, type, aroundhead, backhand, hit_height, hit_area,  hit_x, hit_y, landing_height, landing_area, landing_x, landing_y,</w:t>
        <w:tab/>
        <w:t xml:space="preserve">lose_reason, win_reason, getpoint_player, flaw, player_location_area, player_location_x, player_location_y, opponent_location_area, opponent_location_x, opponent_location_y, db). However, the only two we will need are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action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attribute and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player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 played the action attribute. Knowing who played each turn is needed because if the same person plays twice in a row, we can confirm that the current rally has ended and someone has 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ained a point.</w:t>
      </w:r>
    </w:p>
    <w:p w:rsidR="00000000" w:rsidDel="00000000" w:rsidP="00000000" w:rsidRDefault="00000000" w:rsidRPr="00000000" w14:paraId="00000006">
      <w:pPr>
        <w:spacing w:after="240" w:before="24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did encounter one small problem: all the move types in the dataset were written in Chinese. However, after some further research, I found a linked image to the dataset that provided the English translations for each move type.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-133349</wp:posOffset>
            </wp:positionH>
            <wp:positionV relativeFrom="paragraph">
              <wp:posOffset>1045964</wp:posOffset>
            </wp:positionV>
            <wp:extent cx="1704278" cy="2761562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4278" cy="27615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1562100</wp:posOffset>
            </wp:positionH>
            <wp:positionV relativeFrom="paragraph">
              <wp:posOffset>1047750</wp:posOffset>
            </wp:positionV>
            <wp:extent cx="1220075" cy="276225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11610"/>
                    <a:stretch>
                      <a:fillRect/>
                    </a:stretch>
                  </pic:blipFill>
                  <pic:spPr>
                    <a:xfrm>
                      <a:off x="0" y="0"/>
                      <a:ext cx="1220075" cy="2762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spacing w:after="240" w:before="240" w:line="480" w:lineRule="auto"/>
        <w:ind w:left="4320"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Despite this, we ran into another issue: the moves listed in the ShuttleSet dataset did not directly match the moves in the VideoBadminton dataset. As a result, we had to manually review and map the moves in the ShuttleSet dataset to the ones we believed corresponded to them in the VideoBadminton dataset.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wywyWang/CoachAI-Projects/blob/main/ShuttleSet/set/An_Se_Young_Pornpawee_Chochuwong_TOYOTA_THAILAND_OPEN_2021_QuarterFinals/set1.csv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