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5B4C" w14:textId="77777777" w:rsidR="003B5E33" w:rsidRPr="003B5E33" w:rsidRDefault="003B5E33" w:rsidP="003B5E33">
      <w:pPr>
        <w:rPr>
          <w:b/>
          <w:bCs/>
        </w:rPr>
      </w:pPr>
      <w:r w:rsidRPr="003B5E33">
        <w:rPr>
          <w:b/>
          <w:bCs/>
        </w:rPr>
        <w:t>3. Convert gas volume → electricity energy (TWh/year)</w:t>
      </w:r>
    </w:p>
    <w:p w14:paraId="75F57641" w14:textId="77777777" w:rsidR="003B5E33" w:rsidRPr="003B5E33" w:rsidRDefault="003B5E33" w:rsidP="003B5E33">
      <w:r w:rsidRPr="003B5E33">
        <w:t xml:space="preserve">This is the </w:t>
      </w:r>
      <w:r w:rsidRPr="003B5E33">
        <w:rPr>
          <w:b/>
          <w:bCs/>
        </w:rPr>
        <w:t>critical petroleum-to-power interface</w:t>
      </w:r>
      <w:r w:rsidRPr="003B5E33">
        <w:t>.</w:t>
      </w:r>
    </w:p>
    <w:p w14:paraId="64C6A15C" w14:textId="77777777" w:rsidR="003B5E33" w:rsidRPr="003B5E33" w:rsidRDefault="003B5E33" w:rsidP="003B5E33">
      <w:pPr>
        <w:rPr>
          <w:b/>
          <w:bCs/>
        </w:rPr>
      </w:pPr>
      <w:r w:rsidRPr="003B5E33">
        <w:rPr>
          <w:b/>
          <w:bCs/>
        </w:rPr>
        <w:t>Step 3.1 — Gas volume → thermal energy</w:t>
      </w:r>
    </w:p>
    <w:p w14:paraId="3329291B" w14:textId="77777777" w:rsidR="003B5E33" w:rsidRPr="003B5E33" w:rsidRDefault="003B5E33" w:rsidP="003B5E33">
      <w:r w:rsidRPr="003B5E33">
        <w:t xml:space="preserve">Use </w:t>
      </w:r>
      <w:r w:rsidRPr="003B5E33">
        <w:rPr>
          <w:b/>
          <w:bCs/>
        </w:rPr>
        <w:t>Higher Heating Value (HHV)</w:t>
      </w:r>
      <w:r w:rsidRPr="003B5E33">
        <w:t xml:space="preserve"> unless stated otherwise.</w:t>
      </w:r>
    </w:p>
    <w:p w14:paraId="4D1AACC0" w14:textId="77777777" w:rsidR="003B5E33" w:rsidRPr="003B5E33" w:rsidRDefault="003B5E33" w:rsidP="003B5E33">
      <w:r w:rsidRPr="003B5E33">
        <w:t>Standard conversion:</w:t>
      </w:r>
    </w:p>
    <w:p w14:paraId="13622795" w14:textId="6384CAD3" w:rsidR="003B5E33" w:rsidRPr="003B5E33" w:rsidRDefault="003B5E33" w:rsidP="003B5E33">
      <m:oMathPara>
        <m:oMath>
          <m:r>
            <w:rPr>
              <w:rFonts w:ascii="Cambria Math" w:hAnsi="Cambria Math"/>
            </w:rPr>
            <m:t>1</m:t>
          </m:r>
          <m:r>
            <m:rPr>
              <m:nor/>
            </m:rPr>
            <m:t xml:space="preserve"> scf</m:t>
          </m:r>
          <m:r>
            <w:rPr>
              <w:rFonts w:ascii="Cambria Math" w:hAnsi="Cambria Math"/>
            </w:rPr>
            <m:t>≈</m:t>
          </m:r>
          <m:r>
            <m:rPr>
              <m:sty m:val="p"/>
            </m:rPr>
            <w:rPr>
              <w:rFonts w:ascii="Cambria Math" w:hAnsi="Cambria Math"/>
            </w:rPr>
            <m:t>1,036</m:t>
          </m:r>
          <m:r>
            <m:rPr>
              <m:nor/>
            </m:rPr>
            <m:t xml:space="preserve"> Btu</m:t>
          </m:r>
          <m:r>
            <m:rPr>
              <m:sty m:val="p"/>
            </m:rPr>
            <w:br/>
          </m:r>
        </m:oMath>
      </m:oMathPara>
    </w:p>
    <w:p w14:paraId="37952CD6" w14:textId="77777777" w:rsidR="003B5E33" w:rsidRPr="003B5E33" w:rsidRDefault="003B5E33" w:rsidP="003B5E33">
      <w:r w:rsidRPr="003B5E33">
        <w:t>So:</w:t>
      </w:r>
    </w:p>
    <w:p w14:paraId="70E5DFF0" w14:textId="44772E7A" w:rsidR="003B5E33" w:rsidRPr="003B5E33" w:rsidRDefault="00000000" w:rsidP="003B5E33">
      <m:oMathPara>
        <m:oMath>
          <m:sSub>
            <m:sSubPr>
              <m:ctrlPr>
                <w:rPr>
                  <w:rFonts w:ascii="Cambria Math" w:hAnsi="Cambria Math"/>
                </w:rPr>
              </m:ctrlPr>
            </m:sSubPr>
            <m:e>
              <m:r>
                <w:rPr>
                  <w:rFonts w:ascii="Cambria Math" w:hAnsi="Cambria Math"/>
                </w:rPr>
                <m:t>E</m:t>
              </m:r>
            </m:e>
            <m:sub>
              <m:r>
                <w:rPr>
                  <w:rFonts w:ascii="Cambria Math" w:hAnsi="Cambria Math"/>
                </w:rPr>
                <m:t>thermal</m:t>
              </m:r>
            </m:sub>
          </m:sSub>
          <m:r>
            <w:rPr>
              <w:rFonts w:ascii="Cambria Math" w:hAnsi="Cambria Math"/>
            </w:rPr>
            <m:t>(</m:t>
          </m:r>
          <m:r>
            <m:rPr>
              <m:nor/>
            </m:rPr>
            <m:t>Btu</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year</m:t>
              </m:r>
            </m:sub>
          </m:sSub>
          <m:r>
            <w:rPr>
              <w:rFonts w:ascii="Cambria Math" w:hAnsi="Cambria Math"/>
            </w:rPr>
            <m:t>(</m:t>
          </m:r>
          <m:r>
            <m:rPr>
              <m:nor/>
            </m:rPr>
            <m:t>MMscf</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r>
            <m:rPr>
              <m:sty m:val="p"/>
            </m:rPr>
            <w:rPr>
              <w:rFonts w:ascii="Cambria Math" w:hAnsi="Cambria Math"/>
            </w:rPr>
            <m:t>1,036</m:t>
          </m:r>
          <m:r>
            <m:rPr>
              <m:sty m:val="p"/>
            </m:rPr>
            <w:br/>
          </m:r>
        </m:oMath>
      </m:oMathPara>
    </w:p>
    <w:p w14:paraId="3DCCDDFE" w14:textId="77777777" w:rsidR="003B5E33" w:rsidRPr="003B5E33" w:rsidRDefault="00000000" w:rsidP="003B5E33">
      <w:r>
        <w:pict w14:anchorId="504B91E4">
          <v:rect id="_x0000_i1025" style="width:0;height:1.5pt" o:hralign="center" o:hrstd="t" o:hr="t" fillcolor="#a0a0a0" stroked="f"/>
        </w:pict>
      </w:r>
    </w:p>
    <w:p w14:paraId="776D3103" w14:textId="77777777" w:rsidR="003B5E33" w:rsidRPr="003B5E33" w:rsidRDefault="003B5E33" w:rsidP="003B5E33">
      <w:pPr>
        <w:rPr>
          <w:b/>
          <w:bCs/>
        </w:rPr>
      </w:pPr>
      <w:r w:rsidRPr="003B5E33">
        <w:rPr>
          <w:b/>
          <w:bCs/>
        </w:rPr>
        <w:t>Step 3.2 — Thermal energy → electrical energy</w:t>
      </w:r>
    </w:p>
    <w:p w14:paraId="32FE34D4" w14:textId="278C90D3" w:rsidR="003B5E33" w:rsidRPr="003B5E33" w:rsidRDefault="003B5E33" w:rsidP="003B5E33">
      <w:r w:rsidRPr="003B5E33">
        <w:t xml:space="preserve">Apply </w:t>
      </w:r>
      <w:r w:rsidRPr="003B5E33">
        <w:rPr>
          <w:b/>
          <w:bCs/>
        </w:rPr>
        <w:t>average gas-to-power efficiency</w:t>
      </w:r>
      <w:r w:rsidRPr="003B5E33">
        <w:t xml:space="preserve"> (</w:t>
      </w:r>
      <m:oMath>
        <m:r>
          <w:rPr>
            <w:rFonts w:ascii="Cambria Math" w:hAnsi="Cambria Math"/>
          </w:rPr>
          <m:t>η</m:t>
        </m:r>
      </m:oMath>
      <w:r w:rsidRPr="003B5E33">
        <w:t>).</w:t>
      </w:r>
    </w:p>
    <w:p w14:paraId="5D3D82DA" w14:textId="77777777" w:rsidR="003B5E33" w:rsidRPr="003B5E33" w:rsidRDefault="003B5E33" w:rsidP="003B5E33">
      <w:r w:rsidRPr="003B5E33">
        <w:t>Typical values (be explicit):</w:t>
      </w:r>
    </w:p>
    <w:p w14:paraId="1BD1DD3C" w14:textId="77777777" w:rsidR="003B5E33" w:rsidRPr="003B5E33" w:rsidRDefault="003B5E33" w:rsidP="003B5E33">
      <w:pPr>
        <w:numPr>
          <w:ilvl w:val="0"/>
          <w:numId w:val="1"/>
        </w:numPr>
      </w:pPr>
      <w:r w:rsidRPr="003B5E33">
        <w:t>Simple cycle: 35–40%</w:t>
      </w:r>
    </w:p>
    <w:p w14:paraId="5D20F9D2" w14:textId="77777777" w:rsidR="003B5E33" w:rsidRPr="003B5E33" w:rsidRDefault="003B5E33" w:rsidP="003B5E33">
      <w:pPr>
        <w:numPr>
          <w:ilvl w:val="0"/>
          <w:numId w:val="1"/>
        </w:numPr>
      </w:pPr>
      <w:r w:rsidRPr="003B5E33">
        <w:t xml:space="preserve">Combined cycle (Nigeria-relevant): </w:t>
      </w:r>
      <w:r w:rsidRPr="003B5E33">
        <w:rPr>
          <w:b/>
          <w:bCs/>
        </w:rPr>
        <w:t>45–55%</w:t>
      </w:r>
    </w:p>
    <w:p w14:paraId="551CE1E0" w14:textId="77777777" w:rsidR="003B5E33" w:rsidRPr="003B5E33" w:rsidRDefault="003B5E33" w:rsidP="003B5E33">
      <w:pPr>
        <w:numPr>
          <w:ilvl w:val="0"/>
          <w:numId w:val="1"/>
        </w:numPr>
      </w:pPr>
      <w:r w:rsidRPr="003B5E33">
        <w:t xml:space="preserve">Use </w:t>
      </w:r>
      <w:r w:rsidRPr="003B5E33">
        <w:rPr>
          <w:b/>
          <w:bCs/>
        </w:rPr>
        <w:t>50%</w:t>
      </w:r>
      <w:r w:rsidRPr="003B5E33">
        <w:t xml:space="preserve"> as baseline unless justified otherwise</w:t>
      </w:r>
    </w:p>
    <w:p w14:paraId="5012407D" w14:textId="5AA6E4DA" w:rsidR="003B5E33" w:rsidRPr="003B5E33" w:rsidRDefault="00000000" w:rsidP="003B5E33">
      <m:oMathPara>
        <m:oMath>
          <m:sSub>
            <m:sSubPr>
              <m:ctrlPr>
                <w:rPr>
                  <w:rFonts w:ascii="Cambria Math" w:hAnsi="Cambria Math"/>
                </w:rPr>
              </m:ctrlPr>
            </m:sSubPr>
            <m:e>
              <m:r>
                <w:rPr>
                  <w:rFonts w:ascii="Cambria Math" w:hAnsi="Cambria Math"/>
                </w:rPr>
                <m:t>E</m:t>
              </m:r>
            </m:e>
            <m:sub>
              <m:r>
                <w:rPr>
                  <w:rFonts w:ascii="Cambria Math" w:hAnsi="Cambria Math"/>
                </w:rPr>
                <m:t>electric</m:t>
              </m:r>
            </m:sub>
          </m:sSub>
          <m:r>
            <w:rPr>
              <w:rFonts w:ascii="Cambria Math" w:hAnsi="Cambria Math"/>
            </w:rPr>
            <m:t>(</m:t>
          </m:r>
          <m:r>
            <m:rPr>
              <m:nor/>
            </m:rPr>
            <m:t>Btu</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thermal</m:t>
              </m:r>
            </m:sub>
          </m:sSub>
          <m:r>
            <w:rPr>
              <w:rFonts w:ascii="Cambria Math" w:hAnsi="Cambria Math"/>
            </w:rPr>
            <m:t>×η</m:t>
          </m:r>
          <m:r>
            <w:br/>
          </m:r>
        </m:oMath>
      </m:oMathPara>
    </w:p>
    <w:p w14:paraId="6740EDC0" w14:textId="77777777" w:rsidR="003B5E33" w:rsidRPr="003B5E33" w:rsidRDefault="00000000" w:rsidP="003B5E33">
      <w:r>
        <w:pict w14:anchorId="7E28B3B0">
          <v:rect id="_x0000_i1026" style="width:0;height:1.5pt" o:hralign="center" o:hrstd="t" o:hr="t" fillcolor="#a0a0a0" stroked="f"/>
        </w:pict>
      </w:r>
    </w:p>
    <w:p w14:paraId="40EDBFA2" w14:textId="77777777" w:rsidR="003B5E33" w:rsidRPr="003B5E33" w:rsidRDefault="003B5E33" w:rsidP="003B5E33">
      <w:pPr>
        <w:rPr>
          <w:b/>
          <w:bCs/>
        </w:rPr>
      </w:pPr>
      <w:r w:rsidRPr="003B5E33">
        <w:rPr>
          <w:b/>
          <w:bCs/>
        </w:rPr>
        <w:t>Step 3.3 — Convert Btu → TWh</w:t>
      </w:r>
    </w:p>
    <w:p w14:paraId="21EB166B" w14:textId="3D9DFF19" w:rsidR="00B455BC" w:rsidRPr="00D005F1" w:rsidRDefault="003B5E33" w:rsidP="003B5E33">
      <m:oMathPara>
        <m:oMath>
          <m:r>
            <w:rPr>
              <w:rFonts w:ascii="Cambria Math" w:hAnsi="Cambria Math"/>
            </w:rPr>
            <m:t>1</m:t>
          </m:r>
          <m:r>
            <m:rPr>
              <m:nor/>
            </m:rPr>
            <m:t xml:space="preserve"> TWh</m:t>
          </m:r>
          <m:r>
            <w:rPr>
              <w:rFonts w:ascii="Cambria Math" w:hAnsi="Cambria Math"/>
            </w:rPr>
            <m:t>=3.412×</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Btu</m:t>
          </m:r>
          <m:r>
            <m:rPr>
              <m:sty m:val="p"/>
            </m:rPr>
            <w:br/>
          </m:r>
        </m:oMath>
        <m:oMath>
          <m:sSub>
            <m:sSubPr>
              <m:ctrlPr>
                <w:rPr>
                  <w:rFonts w:ascii="Cambria Math" w:hAnsi="Cambria Math"/>
                </w:rPr>
              </m:ctrlPr>
            </m:sSubPr>
            <m:e>
              <m:r>
                <w:rPr>
                  <w:rFonts w:ascii="Cambria Math" w:hAnsi="Cambria Math"/>
                </w:rPr>
                <m:t>E</m:t>
              </m:r>
            </m:e>
            <m:sub>
              <m:r>
                <w:rPr>
                  <w:rFonts w:ascii="Cambria Math" w:hAnsi="Cambria Math"/>
                </w:rPr>
                <m:t>electric</m:t>
              </m:r>
            </m:sub>
          </m:sSub>
          <m:r>
            <w:rPr>
              <w:rFonts w:ascii="Cambria Math" w:hAnsi="Cambria Math"/>
            </w:rPr>
            <m:t>(</m:t>
          </m:r>
          <m:r>
            <m:rPr>
              <m:nor/>
            </m:rPr>
            <m:t>TWh</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electric</m:t>
                  </m:r>
                </m:sub>
              </m:sSub>
              <m:r>
                <w:rPr>
                  <w:rFonts w:ascii="Cambria Math" w:hAnsi="Cambria Math"/>
                </w:rPr>
                <m:t>(</m:t>
              </m:r>
              <m:r>
                <m:rPr>
                  <m:nor/>
                </m:rPr>
                <m:t>Btu</m:t>
              </m:r>
              <m:r>
                <w:rPr>
                  <w:rFonts w:ascii="Cambria Math" w:hAnsi="Cambria Math"/>
                </w:rPr>
                <m:t>)</m:t>
              </m:r>
            </m:num>
            <m:den>
              <m:r>
                <w:rPr>
                  <w:rFonts w:ascii="Cambria Math" w:hAnsi="Cambria Math"/>
                </w:rPr>
                <m:t>3.412×</m:t>
              </m:r>
              <m:sSup>
                <m:sSupPr>
                  <m:ctrlPr>
                    <w:rPr>
                      <w:rFonts w:ascii="Cambria Math" w:hAnsi="Cambria Math"/>
                    </w:rPr>
                  </m:ctrlPr>
                </m:sSupPr>
                <m:e>
                  <m:r>
                    <w:rPr>
                      <w:rFonts w:ascii="Cambria Math" w:hAnsi="Cambria Math"/>
                    </w:rPr>
                    <m:t>10</m:t>
                  </m:r>
                </m:e>
                <m:sup>
                  <m:r>
                    <w:rPr>
                      <w:rFonts w:ascii="Cambria Math" w:hAnsi="Cambria Math"/>
                    </w:rPr>
                    <m:t>12</m:t>
                  </m:r>
                </m:sup>
              </m:sSup>
            </m:den>
          </m:f>
          <m:r>
            <m:rPr>
              <m:sty m:val="p"/>
            </m:rPr>
            <w:br/>
          </m:r>
        </m:oMath>
      </m:oMathPara>
    </w:p>
    <w:p w14:paraId="09BB8A80" w14:textId="77777777" w:rsidR="00D005F1" w:rsidRDefault="00D005F1" w:rsidP="003B5E33"/>
    <w:p w14:paraId="478844B9" w14:textId="77777777" w:rsidR="00D005F1" w:rsidRPr="00D005F1" w:rsidRDefault="00D005F1" w:rsidP="00D005F1">
      <w:pPr>
        <w:rPr>
          <w:b/>
          <w:bCs/>
        </w:rPr>
      </w:pPr>
      <w:r w:rsidRPr="00D005F1">
        <w:rPr>
          <w:b/>
          <w:bCs/>
        </w:rPr>
        <w:t>What you should record as Phase 1 outputs (so you can prove it worked)</w:t>
      </w:r>
    </w:p>
    <w:p w14:paraId="51C14865" w14:textId="77777777" w:rsidR="00D005F1" w:rsidRPr="00D005F1" w:rsidRDefault="00D005F1" w:rsidP="00D005F1">
      <w:r w:rsidRPr="00D005F1">
        <w:t>Add these to your results logging (even if just printouts for now):</w:t>
      </w:r>
    </w:p>
    <w:p w14:paraId="7F0326B3" w14:textId="6160A8A6" w:rsidR="00D005F1" w:rsidRPr="00D005F1" w:rsidRDefault="00D005F1" w:rsidP="00D005F1">
      <w:pPr>
        <w:numPr>
          <w:ilvl w:val="0"/>
          <w:numId w:val="2"/>
        </w:numPr>
      </w:pPr>
      <m:oMath>
        <m:sSubSup>
          <m:sSubSupPr>
            <m:ctrlPr>
              <w:rPr>
                <w:rFonts w:ascii="Cambria Math" w:hAnsi="Cambria Math"/>
              </w:rPr>
            </m:ctrlPr>
          </m:sSubSupPr>
          <m:e>
            <m:r>
              <w:rPr>
                <w:rFonts w:ascii="Cambria Math" w:hAnsi="Cambria Math"/>
              </w:rPr>
              <m:t>G</m:t>
            </m:r>
          </m:e>
          <m:sub>
            <m:r>
              <w:rPr>
                <w:rFonts w:ascii="Cambria Math" w:hAnsi="Cambria Math"/>
              </w:rPr>
              <m:t>2025</m:t>
            </m:r>
          </m:sub>
          <m:sup>
            <m:r>
              <w:rPr>
                <w:rFonts w:ascii="Cambria Math" w:hAnsi="Cambria Math"/>
              </w:rPr>
              <m:t>avail</m:t>
            </m:r>
          </m:sup>
        </m:sSubSup>
      </m:oMath>
      <w:r w:rsidRPr="00D005F1">
        <w:t xml:space="preserve">(from CSV) = </w:t>
      </w:r>
      <w:r w:rsidRPr="00D005F1">
        <w:rPr>
          <w:b/>
          <w:bCs/>
        </w:rPr>
        <w:t>40.66 TWh_th</w:t>
      </w:r>
    </w:p>
    <w:p w14:paraId="36F0A354" w14:textId="6208BECF" w:rsidR="00D005F1" w:rsidRPr="00D005F1" w:rsidRDefault="00D005F1" w:rsidP="00D005F1">
      <w:pPr>
        <w:numPr>
          <w:ilvl w:val="0"/>
          <w:numId w:val="2"/>
        </w:numPr>
      </w:pPr>
      <m:oMath>
        <m:sSubSup>
          <m:sSubSupPr>
            <m:ctrlPr>
              <w:rPr>
                <w:rFonts w:ascii="Cambria Math" w:hAnsi="Cambria Math"/>
              </w:rPr>
            </m:ctrlPr>
          </m:sSubSupPr>
          <m:e>
            <m:r>
              <w:rPr>
                <w:rFonts w:ascii="Cambria Math" w:hAnsi="Cambria Math"/>
              </w:rPr>
              <m:t>G</m:t>
            </m:r>
          </m:e>
          <m:sub>
            <m:r>
              <w:rPr>
                <w:rFonts w:ascii="Cambria Math" w:hAnsi="Cambria Math"/>
              </w:rPr>
              <m:t>2025</m:t>
            </m:r>
          </m:sub>
          <m:sup>
            <m:r>
              <w:rPr>
                <w:rFonts w:ascii="Cambria Math" w:hAnsi="Cambria Math"/>
              </w:rPr>
              <m:t>pwr</m:t>
            </m:r>
          </m:sup>
        </m:sSubSup>
      </m:oMath>
      <w:r w:rsidRPr="00D005F1">
        <w:t>(model decision)</w:t>
      </w:r>
    </w:p>
    <w:p w14:paraId="48B6A28F" w14:textId="60DB9370" w:rsidR="00D005F1" w:rsidRPr="00D005F1" w:rsidRDefault="00D005F1" w:rsidP="00D005F1">
      <w:pPr>
        <w:numPr>
          <w:ilvl w:val="0"/>
          <w:numId w:val="2"/>
        </w:numPr>
      </w:pPr>
      <m:oMath>
        <m:sSubSup>
          <m:sSubSupPr>
            <m:ctrlPr>
              <w:rPr>
                <w:rFonts w:ascii="Cambria Math" w:hAnsi="Cambria Math"/>
              </w:rPr>
            </m:ctrlPr>
          </m:sSubSupPr>
          <m:e>
            <m:r>
              <w:rPr>
                <w:rFonts w:ascii="Cambria Math" w:hAnsi="Cambria Math"/>
              </w:rPr>
              <m:t>E</m:t>
            </m:r>
          </m:e>
          <m:sub>
            <m:r>
              <w:rPr>
                <w:rFonts w:ascii="Cambria Math" w:hAnsi="Cambria Math"/>
              </w:rPr>
              <m:t>2025</m:t>
            </m:r>
          </m:sub>
          <m:sup>
            <m:r>
              <w:rPr>
                <w:rFonts w:ascii="Cambria Math" w:hAnsi="Cambria Math"/>
              </w:rPr>
              <m:t>gas</m:t>
            </m:r>
          </m:sup>
        </m:sSubSup>
        <m:r>
          <w:rPr>
            <w:rFonts w:ascii="Cambria Math" w:hAnsi="Cambria Math"/>
          </w:rPr>
          <m:t>=η</m:t>
        </m:r>
        <m:sSubSup>
          <m:sSubSupPr>
            <m:ctrlPr>
              <w:rPr>
                <w:rFonts w:ascii="Cambria Math" w:hAnsi="Cambria Math"/>
              </w:rPr>
            </m:ctrlPr>
          </m:sSubSupPr>
          <m:e>
            <m:r>
              <w:rPr>
                <w:rFonts w:ascii="Cambria Math" w:hAnsi="Cambria Math"/>
              </w:rPr>
              <m:t>G</m:t>
            </m:r>
          </m:e>
          <m:sub>
            <m:r>
              <w:rPr>
                <w:rFonts w:ascii="Cambria Math" w:hAnsi="Cambria Math"/>
              </w:rPr>
              <m:t>2025</m:t>
            </m:r>
          </m:sub>
          <m:sup>
            <m:r>
              <w:rPr>
                <w:rFonts w:ascii="Cambria Math" w:hAnsi="Cambria Math"/>
              </w:rPr>
              <m:t>pwr</m:t>
            </m:r>
          </m:sup>
        </m:sSubSup>
      </m:oMath>
    </w:p>
    <w:p w14:paraId="21872802" w14:textId="4BA7E7E2" w:rsidR="00D005F1" w:rsidRPr="00D005F1" w:rsidRDefault="00D005F1" w:rsidP="00D005F1">
      <w:pPr>
        <w:numPr>
          <w:ilvl w:val="0"/>
          <w:numId w:val="2"/>
        </w:numPr>
      </w:pPr>
      <w:r w:rsidRPr="00D005F1">
        <w:t xml:space="preserve">Check: </w:t>
      </w:r>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avail</m:t>
            </m:r>
          </m:sup>
        </m:sSubSup>
      </m:oMath>
      <w:r w:rsidRPr="00D005F1">
        <w:t>for all years</w:t>
      </w:r>
    </w:p>
    <w:p w14:paraId="5916A952" w14:textId="77777777" w:rsidR="00D005F1" w:rsidRPr="00D005F1" w:rsidRDefault="00D005F1" w:rsidP="00D005F1">
      <w:pPr>
        <w:numPr>
          <w:ilvl w:val="0"/>
          <w:numId w:val="2"/>
        </w:numPr>
      </w:pPr>
      <w:r w:rsidRPr="00D005F1">
        <w:t>Check: if gas binds in any year, gas_curtail[y] = 0 and the balance is tight.</w:t>
      </w:r>
    </w:p>
    <w:p w14:paraId="556A8B66" w14:textId="77777777" w:rsidR="00D005F1" w:rsidRPr="00D005F1" w:rsidRDefault="00D005F1" w:rsidP="00D005F1">
      <w:r w:rsidRPr="00D005F1">
        <w:t>Those are the minimal “sanity evidence” lines.</w:t>
      </w:r>
    </w:p>
    <w:p w14:paraId="7372B55F" w14:textId="77777777" w:rsidR="00D005F1" w:rsidRPr="00D005F1" w:rsidRDefault="00D005F1" w:rsidP="00D005F1">
      <w:r w:rsidRPr="00D005F1">
        <w:pict w14:anchorId="2CA397DD">
          <v:rect id="_x0000_i1063" style="width:0;height:1.5pt" o:hralign="center" o:hrstd="t" o:hr="t" fillcolor="#a0a0a0" stroked="f"/>
        </w:pict>
      </w:r>
    </w:p>
    <w:p w14:paraId="12A4FE3E" w14:textId="77777777" w:rsidR="00D005F1" w:rsidRPr="00D005F1" w:rsidRDefault="00D005F1" w:rsidP="00D005F1">
      <w:pPr>
        <w:rPr>
          <w:b/>
          <w:bCs/>
        </w:rPr>
      </w:pPr>
      <w:r w:rsidRPr="00D005F1">
        <w:rPr>
          <w:b/>
          <w:bCs/>
        </w:rPr>
        <w:t>Thesis-ready Phase 1 text (drop-in)</w:t>
      </w:r>
    </w:p>
    <w:p w14:paraId="5EBA4665" w14:textId="77777777" w:rsidR="00D005F1" w:rsidRPr="00D005F1" w:rsidRDefault="00D005F1" w:rsidP="00D005F1">
      <w:r w:rsidRPr="00D005F1">
        <w:t>Use this as a standalone subsection in your methodology.</w:t>
      </w:r>
    </w:p>
    <w:p w14:paraId="2B2B8189" w14:textId="77777777" w:rsidR="00D005F1" w:rsidRPr="00D005F1" w:rsidRDefault="00D005F1" w:rsidP="00D005F1">
      <w:pPr>
        <w:rPr>
          <w:b/>
          <w:bCs/>
        </w:rPr>
      </w:pPr>
      <w:r w:rsidRPr="00D005F1">
        <w:rPr>
          <w:b/>
          <w:bCs/>
        </w:rPr>
        <w:t>Phase 1: Gas accounting layer (annual planning model)</w:t>
      </w:r>
    </w:p>
    <w:p w14:paraId="3F152D60" w14:textId="77777777" w:rsidR="00D005F1" w:rsidRPr="00D005F1" w:rsidRDefault="00D005F1" w:rsidP="00D005F1">
      <w:r w:rsidRPr="00D005F1">
        <w:rPr>
          <w:b/>
          <w:bCs/>
        </w:rPr>
        <w:t>Purpose.</w:t>
      </w:r>
      <w:r w:rsidRPr="00D005F1">
        <w:t xml:space="preserve"> To ensure adequacy and reliability outcomes are constrained by physically deliverable gas to the power sector, gas is modeled explicitly as a primary energy resource upstream of electricity generation.</w:t>
      </w:r>
    </w:p>
    <w:p w14:paraId="2A7A9617" w14:textId="3354F357" w:rsidR="00D005F1" w:rsidRPr="00D005F1" w:rsidRDefault="00D005F1" w:rsidP="00D005F1">
      <w:r w:rsidRPr="00D005F1">
        <w:rPr>
          <w:b/>
          <w:bCs/>
        </w:rPr>
        <w:t>Units.</w:t>
      </w:r>
      <w:r w:rsidRPr="00D005F1">
        <w:t xml:space="preserve"> Gas is represented in thermal energy units, </w:t>
      </w:r>
      <m:oMath>
        <m:r>
          <w:rPr>
            <w:rFonts w:ascii="Cambria Math" w:hAnsi="Cambria Math"/>
          </w:rPr>
          <m:t>G</m:t>
        </m:r>
      </m:oMath>
      <w:r w:rsidRPr="00D005F1">
        <w:t>[TWh</w:t>
      </w:r>
      <m:oMath>
        <m:sSub>
          <m:sSubPr>
            <m:ctrlPr>
              <w:rPr>
                <w:rFonts w:ascii="Cambria Math" w:hAnsi="Cambria Math"/>
              </w:rPr>
            </m:ctrlPr>
          </m:sSubPr>
          <m:e/>
          <m:sub>
            <m:r>
              <w:rPr>
                <w:rFonts w:ascii="Cambria Math" w:hAnsi="Cambria Math"/>
              </w:rPr>
              <m:t>th</m:t>
            </m:r>
          </m:sub>
        </m:sSub>
      </m:oMath>
      <w:r w:rsidRPr="00D005F1">
        <w:t xml:space="preserve">], and electricity in </w:t>
      </w:r>
      <m:oMath>
        <m:r>
          <w:rPr>
            <w:rFonts w:ascii="Cambria Math" w:hAnsi="Cambria Math"/>
          </w:rPr>
          <m:t>E</m:t>
        </m:r>
      </m:oMath>
      <w:r w:rsidRPr="00D005F1">
        <w:t>[TWh</w:t>
      </w:r>
      <m:oMath>
        <m:sSub>
          <m:sSubPr>
            <m:ctrlPr>
              <w:rPr>
                <w:rFonts w:ascii="Cambria Math" w:hAnsi="Cambria Math"/>
              </w:rPr>
            </m:ctrlPr>
          </m:sSubPr>
          <m:e/>
          <m:sub>
            <m:r>
              <w:rPr>
                <w:rFonts w:ascii="Cambria Math" w:hAnsi="Cambria Math"/>
              </w:rPr>
              <m:t>e</m:t>
            </m:r>
          </m:sub>
        </m:sSub>
      </m:oMath>
      <w:r w:rsidRPr="00D005F1">
        <w:t xml:space="preserve">]. A constant fleet-average gas-to-power conversion efficiency </w:t>
      </w:r>
      <m:oMath>
        <m:r>
          <w:rPr>
            <w:rFonts w:ascii="Cambria Math" w:hAnsi="Cambria Math"/>
          </w:rPr>
          <m:t>η</m:t>
        </m:r>
      </m:oMath>
      <w:r w:rsidRPr="00D005F1">
        <w:t>is applied.</w:t>
      </w:r>
    </w:p>
    <w:p w14:paraId="3BDCBE82" w14:textId="77777777" w:rsidR="00D005F1" w:rsidRPr="00D005F1" w:rsidRDefault="00D005F1" w:rsidP="00D005F1">
      <w:r w:rsidRPr="00D005F1">
        <w:rPr>
          <w:b/>
          <w:bCs/>
        </w:rPr>
        <w:t>Decision variables.</w:t>
      </w:r>
    </w:p>
    <w:p w14:paraId="1E854603" w14:textId="32D744E8" w:rsidR="00D005F1" w:rsidRPr="00D005F1" w:rsidRDefault="00D005F1" w:rsidP="00D005F1">
      <w:pPr>
        <w:numPr>
          <w:ilvl w:val="0"/>
          <w:numId w:val="3"/>
        </w:numPr>
      </w:pPr>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w:rPr>
            <w:rFonts w:ascii="Cambria Math" w:hAnsi="Cambria Math"/>
          </w:rPr>
          <m:t>≥0</m:t>
        </m:r>
      </m:oMath>
      <w:r w:rsidRPr="00D005F1">
        <w:t>[TWh</w:t>
      </w:r>
      <m:oMath>
        <m:sSub>
          <m:sSubPr>
            <m:ctrlPr>
              <w:rPr>
                <w:rFonts w:ascii="Cambria Math" w:hAnsi="Cambria Math"/>
              </w:rPr>
            </m:ctrlPr>
          </m:sSubPr>
          <m:e/>
          <m:sub>
            <m:r>
              <w:rPr>
                <w:rFonts w:ascii="Cambria Math" w:hAnsi="Cambria Math"/>
              </w:rPr>
              <m:t>th</m:t>
            </m:r>
          </m:sub>
        </m:sSub>
      </m:oMath>
      <w:r w:rsidRPr="00D005F1">
        <w:t xml:space="preserve">]: gas allocated to power generation in year </w:t>
      </w:r>
      <m:oMath>
        <m:r>
          <w:rPr>
            <w:rFonts w:ascii="Cambria Math" w:hAnsi="Cambria Math"/>
          </w:rPr>
          <m:t>y</m:t>
        </m:r>
      </m:oMath>
    </w:p>
    <w:p w14:paraId="79DBB12F" w14:textId="3D0F3DD6" w:rsidR="00D005F1" w:rsidRPr="00D005F1" w:rsidRDefault="00D005F1" w:rsidP="00D005F1">
      <w:pPr>
        <w:numPr>
          <w:ilvl w:val="0"/>
          <w:numId w:val="3"/>
        </w:numPr>
      </w:pPr>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curt</m:t>
            </m:r>
          </m:sup>
        </m:sSubSup>
        <m:r>
          <w:rPr>
            <w:rFonts w:ascii="Cambria Math" w:hAnsi="Cambria Math"/>
          </w:rPr>
          <m:t>≥0</m:t>
        </m:r>
      </m:oMath>
      <w:r w:rsidRPr="00D005F1">
        <w:t>[TWh</w:t>
      </w:r>
      <m:oMath>
        <m:sSub>
          <m:sSubPr>
            <m:ctrlPr>
              <w:rPr>
                <w:rFonts w:ascii="Cambria Math" w:hAnsi="Cambria Math"/>
              </w:rPr>
            </m:ctrlPr>
          </m:sSubPr>
          <m:e/>
          <m:sub>
            <m:r>
              <w:rPr>
                <w:rFonts w:ascii="Cambria Math" w:hAnsi="Cambria Math"/>
              </w:rPr>
              <m:t>th</m:t>
            </m:r>
          </m:sub>
        </m:sSub>
      </m:oMath>
      <w:r w:rsidRPr="00D005F1">
        <w:t>]: unused deliverable gas to power (slack)</w:t>
      </w:r>
    </w:p>
    <w:p w14:paraId="7C295EF1" w14:textId="77777777" w:rsidR="00D005F1" w:rsidRPr="00D005F1" w:rsidRDefault="00D005F1" w:rsidP="00D005F1">
      <w:pPr>
        <w:numPr>
          <w:ilvl w:val="0"/>
          <w:numId w:val="3"/>
        </w:numPr>
      </w:pPr>
      <w:r w:rsidRPr="00D005F1">
        <w:t>Existing electricity planning variables (solar expansion, storage, unserved energy) remain unchanged.</w:t>
      </w:r>
    </w:p>
    <w:p w14:paraId="5A2C41F4" w14:textId="77777777" w:rsidR="00D005F1" w:rsidRPr="00D005F1" w:rsidRDefault="00D005F1" w:rsidP="00D005F1">
      <w:r w:rsidRPr="00D005F1">
        <w:rPr>
          <w:b/>
          <w:bCs/>
        </w:rPr>
        <w:t>Parameters.</w:t>
      </w:r>
    </w:p>
    <w:p w14:paraId="6EEB17F6" w14:textId="381A171A" w:rsidR="00D005F1" w:rsidRPr="00D005F1" w:rsidRDefault="00D005F1" w:rsidP="00D005F1">
      <w:pPr>
        <w:numPr>
          <w:ilvl w:val="0"/>
          <w:numId w:val="4"/>
        </w:numPr>
      </w:pPr>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avail</m:t>
            </m:r>
          </m:sup>
        </m:sSubSup>
      </m:oMath>
      <w:r w:rsidRPr="00D005F1">
        <w:t>[TWh</w:t>
      </w:r>
      <m:oMath>
        <m:sSub>
          <m:sSubPr>
            <m:ctrlPr>
              <w:rPr>
                <w:rFonts w:ascii="Cambria Math" w:hAnsi="Cambria Math"/>
              </w:rPr>
            </m:ctrlPr>
          </m:sSubPr>
          <m:e/>
          <m:sub>
            <m:r>
              <w:rPr>
                <w:rFonts w:ascii="Cambria Math" w:hAnsi="Cambria Math"/>
              </w:rPr>
              <m:t>th</m:t>
            </m:r>
          </m:sub>
        </m:sSub>
      </m:oMath>
      <w:r w:rsidRPr="00D005F1">
        <w:t>]: annual gas deliverability available to the power sector (scenario-defined, anchored to 2025 observed gas-to-power deliveries and extended to 2045)</w:t>
      </w:r>
    </w:p>
    <w:p w14:paraId="4C032EE7" w14:textId="76A10B14" w:rsidR="00D005F1" w:rsidRPr="00D005F1" w:rsidRDefault="00D005F1" w:rsidP="00D005F1">
      <w:pPr>
        <w:numPr>
          <w:ilvl w:val="0"/>
          <w:numId w:val="4"/>
        </w:numPr>
      </w:pPr>
      <m:oMath>
        <m:r>
          <w:rPr>
            <w:rFonts w:ascii="Cambria Math" w:hAnsi="Cambria Math"/>
          </w:rPr>
          <m:t>η=0.43</m:t>
        </m:r>
      </m:oMath>
      <w:r w:rsidRPr="00D005F1">
        <w:t>: fleet-average conversion efficiency estimated by reconciling gas-to-power deliveries with thermal generation.</w:t>
      </w:r>
    </w:p>
    <w:p w14:paraId="312B3B8C" w14:textId="77777777" w:rsidR="00D005F1" w:rsidRPr="00D005F1" w:rsidRDefault="00D005F1" w:rsidP="00D005F1">
      <w:r w:rsidRPr="00D005F1">
        <w:rPr>
          <w:b/>
          <w:bCs/>
        </w:rPr>
        <w:t>Constraints.</w:t>
      </w:r>
      <w:r w:rsidRPr="00D005F1">
        <w:br/>
        <w:t>Gas deliverability balance:</w:t>
      </w:r>
    </w:p>
    <w:p w14:paraId="6298255A" w14:textId="3D47013D" w:rsidR="00D005F1" w:rsidRPr="00D005F1" w:rsidRDefault="00D005F1" w:rsidP="00D005F1">
      <m:oMathPara>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curt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avail</m:t>
              </m:r>
            </m:sup>
          </m:sSubSup>
          <m:r>
            <m:rPr>
              <m:sty m:val="p"/>
            </m:rPr>
            <w:rPr>
              <w:rFonts w:ascii="Cambria Math" w:hAnsi="Cambria Math"/>
            </w:rPr>
            <m:t>∀</m:t>
          </m:r>
          <m:r>
            <w:rPr>
              <w:rFonts w:ascii="Cambria Math" w:hAnsi="Cambria Math"/>
            </w:rPr>
            <m:t>y</m:t>
          </m:r>
          <m:r>
            <w:rPr>
              <w:i/>
            </w:rPr>
            <w:br/>
          </m:r>
        </m:oMath>
      </m:oMathPara>
    </w:p>
    <w:p w14:paraId="01DDD015" w14:textId="77777777" w:rsidR="00D005F1" w:rsidRPr="00D005F1" w:rsidRDefault="00D005F1" w:rsidP="00D005F1">
      <w:r w:rsidRPr="00D005F1">
        <w:t>Gas-to-electricity conversion:</w:t>
      </w:r>
    </w:p>
    <w:p w14:paraId="358455B3" w14:textId="7F8D11D8" w:rsidR="00D005F1" w:rsidRPr="00D005F1" w:rsidRDefault="00D005F1" w:rsidP="00D005F1">
      <m:oMathPara>
        <m:oMath>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gas</m:t>
              </m:r>
            </m:sup>
          </m:sSubSup>
          <m:r>
            <w:rPr>
              <w:rFonts w:ascii="Cambria Math" w:hAnsi="Cambria Math"/>
            </w:rPr>
            <m:t>=η</m:t>
          </m:r>
          <m:r>
            <m:rPr>
              <m:nor/>
            </m:rPr>
            <m:t> </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m:rPr>
              <m:sty m:val="p"/>
            </m:rPr>
            <w:rPr>
              <w:rFonts w:ascii="Cambria Math" w:hAnsi="Cambria Math"/>
            </w:rPr>
            <m:t>∀</m:t>
          </m:r>
          <m:r>
            <w:rPr>
              <w:rFonts w:ascii="Cambria Math" w:hAnsi="Cambria Math"/>
            </w:rPr>
            <m:t>y</m:t>
          </m:r>
          <m:r>
            <w:rPr>
              <w:i/>
            </w:rPr>
            <w:br/>
          </m:r>
        </m:oMath>
      </m:oMathPara>
    </w:p>
    <w:p w14:paraId="30D883FB" w14:textId="77777777" w:rsidR="00D005F1" w:rsidRPr="00D005F1" w:rsidRDefault="00D005F1" w:rsidP="00D005F1">
      <w:r w:rsidRPr="00D005F1">
        <w:t>Electricity adequacy (existing balance updated to use endogenous gas electricity):</w:t>
      </w:r>
    </w:p>
    <w:p w14:paraId="7D4BF764" w14:textId="4D8AAC1D" w:rsidR="00D005F1" w:rsidRPr="00D005F1" w:rsidRDefault="00D005F1" w:rsidP="00D005F1">
      <m:oMathPara>
        <m:oMath>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gas</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solar</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stor</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r>
            <w:rPr>
              <w:rFonts w:ascii="Cambria Math" w:hAnsi="Cambria Math"/>
            </w:rPr>
            <m:t>y</m:t>
          </m:r>
          <m:r>
            <w:rPr>
              <w:i/>
            </w:rPr>
            <w:br/>
          </m:r>
        </m:oMath>
      </m:oMathPara>
    </w:p>
    <w:p w14:paraId="665EB4E8" w14:textId="05BBC1AD" w:rsidR="00D005F1" w:rsidRPr="00D005F1" w:rsidRDefault="00D005F1" w:rsidP="00D005F1">
      <w:r w:rsidRPr="00D005F1">
        <w:t xml:space="preserve">where </w:t>
      </w:r>
      <m:oMath>
        <m:sSub>
          <m:sSubPr>
            <m:ctrlPr>
              <w:rPr>
                <w:rFonts w:ascii="Cambria Math" w:hAnsi="Cambria Math"/>
              </w:rPr>
            </m:ctrlPr>
          </m:sSubPr>
          <m:e>
            <m:r>
              <w:rPr>
                <w:rFonts w:ascii="Cambria Math" w:hAnsi="Cambria Math"/>
              </w:rPr>
              <m:t>U</m:t>
            </m:r>
          </m:e>
          <m:sub>
            <m:r>
              <w:rPr>
                <w:rFonts w:ascii="Cambria Math" w:hAnsi="Cambria Math"/>
              </w:rPr>
              <m:t>y</m:t>
            </m:r>
          </m:sub>
        </m:sSub>
      </m:oMath>
      <w:r w:rsidRPr="00D005F1">
        <w:t xml:space="preserve">is unserved energy and </w:t>
      </w:r>
      <m:oMath>
        <m:sSub>
          <m:sSubPr>
            <m:ctrlPr>
              <w:rPr>
                <w:rFonts w:ascii="Cambria Math" w:hAnsi="Cambria Math"/>
              </w:rPr>
            </m:ctrlPr>
          </m:sSubPr>
          <m:e>
            <m:r>
              <w:rPr>
                <w:rFonts w:ascii="Cambria Math" w:hAnsi="Cambria Math"/>
              </w:rPr>
              <m:t>D</m:t>
            </m:r>
          </m:e>
          <m:sub>
            <m:r>
              <w:rPr>
                <w:rFonts w:ascii="Cambria Math" w:hAnsi="Cambria Math"/>
              </w:rPr>
              <m:t>y</m:t>
            </m:r>
          </m:sub>
        </m:sSub>
      </m:oMath>
      <w:r w:rsidRPr="00D005F1">
        <w:t>is exogenous demand.</w:t>
      </w:r>
    </w:p>
    <w:p w14:paraId="5A4F129A" w14:textId="77777777" w:rsidR="00D005F1" w:rsidRPr="00D005F1" w:rsidRDefault="00D005F1" w:rsidP="00D005F1">
      <w:r w:rsidRPr="00D005F1">
        <w:rPr>
          <w:b/>
          <w:bCs/>
        </w:rPr>
        <w:t>Implementation note.</w:t>
      </w:r>
      <w:r w:rsidRPr="00D005F1">
        <w:t xml:space="preserve"> The gas availability trajectories are stored as reproducible CSV inputs in data/gas/processed/, while reconciliation spreadsheets are retained only for auditability and are not model dependencies.</w:t>
      </w:r>
    </w:p>
    <w:p w14:paraId="2689947C" w14:textId="77777777" w:rsidR="00D005F1" w:rsidRPr="00D005F1" w:rsidRDefault="00D005F1" w:rsidP="00D005F1">
      <w:r w:rsidRPr="00D005F1">
        <w:pict w14:anchorId="1B05B96D">
          <v:rect id="_x0000_i1064" style="width:0;height:1.5pt" o:hralign="center" o:hrstd="t" o:hr="t" fillcolor="#a0a0a0" stroked="f"/>
        </w:pict>
      </w:r>
    </w:p>
    <w:p w14:paraId="07121A2A" w14:textId="77777777" w:rsidR="00D005F1" w:rsidRPr="00D005F1" w:rsidRDefault="00D005F1" w:rsidP="00D005F1">
      <w:pPr>
        <w:rPr>
          <w:b/>
          <w:bCs/>
        </w:rPr>
      </w:pPr>
      <w:r w:rsidRPr="00D005F1">
        <w:rPr>
          <w:b/>
          <w:bCs/>
        </w:rPr>
        <w:t>What belongs in code vs thesis (Phase 1 closeout)</w:t>
      </w:r>
    </w:p>
    <w:p w14:paraId="5C826AD0" w14:textId="51FF5CDB" w:rsidR="00D005F1" w:rsidRPr="00D005F1" w:rsidRDefault="00D005F1" w:rsidP="00D005F1">
      <w:pPr>
        <w:numPr>
          <w:ilvl w:val="0"/>
          <w:numId w:val="5"/>
        </w:numPr>
      </w:pPr>
      <w:r w:rsidRPr="00D005F1">
        <w:rPr>
          <w:b/>
          <w:bCs/>
        </w:rPr>
        <w:t>Thesis:</w:t>
      </w:r>
      <w:r w:rsidRPr="00D005F1">
        <w:t xml:space="preserve"> units, variables, parameters, the 3 equations above, and how </w:t>
      </w:r>
      <m:oMath>
        <m:r>
          <w:rPr>
            <w:rFonts w:ascii="Cambria Math" w:hAnsi="Cambria Math"/>
          </w:rPr>
          <m:t>η</m:t>
        </m:r>
      </m:oMath>
      <w:r w:rsidRPr="00D005F1">
        <w:t>was estimated.</w:t>
      </w:r>
    </w:p>
    <w:p w14:paraId="12489830" w14:textId="77777777" w:rsidR="00D005F1" w:rsidRPr="00D005F1" w:rsidRDefault="00D005F1" w:rsidP="00D005F1">
      <w:pPr>
        <w:numPr>
          <w:ilvl w:val="0"/>
          <w:numId w:val="5"/>
        </w:numPr>
      </w:pPr>
      <w:r w:rsidRPr="00D005F1">
        <w:rPr>
          <w:b/>
          <w:bCs/>
        </w:rPr>
        <w:t>Code:</w:t>
      </w:r>
      <w:r w:rsidRPr="00D005F1">
        <w:t xml:space="preserve"> loader for gas_available_power_annual_twh_th.csv, new gas vars, gas constraint, and replacement of exogenous gas generation term in the balance.</w:t>
      </w:r>
    </w:p>
    <w:p w14:paraId="06032F20" w14:textId="77777777" w:rsidR="00D005F1" w:rsidRPr="00D005F1" w:rsidRDefault="00D005F1" w:rsidP="00D005F1">
      <w:r w:rsidRPr="00D005F1">
        <w:pict w14:anchorId="45A750A8">
          <v:rect id="_x0000_i1065" style="width:0;height:1.5pt" o:hralign="center" o:hrstd="t" o:hr="t" fillcolor="#a0a0a0" stroked="f"/>
        </w:pict>
      </w:r>
    </w:p>
    <w:p w14:paraId="43338F41" w14:textId="77777777" w:rsidR="00D005F1" w:rsidRPr="00D005F1" w:rsidRDefault="00D005F1" w:rsidP="00D005F1">
      <w:pPr>
        <w:rPr>
          <w:b/>
          <w:bCs/>
        </w:rPr>
      </w:pPr>
      <w:r w:rsidRPr="00D005F1">
        <w:rPr>
          <w:b/>
          <w:bCs/>
        </w:rPr>
        <w:t>Stop and confirmation point (per your rules)</w:t>
      </w:r>
    </w:p>
    <w:p w14:paraId="2C0B8608" w14:textId="77777777" w:rsidR="00D005F1" w:rsidRPr="00D005F1" w:rsidRDefault="00D005F1" w:rsidP="00D005F1">
      <w:r w:rsidRPr="00D005F1">
        <w:t xml:space="preserve">Phase 2 is </w:t>
      </w:r>
      <w:r w:rsidRPr="00D005F1">
        <w:rPr>
          <w:b/>
          <w:bCs/>
        </w:rPr>
        <w:t>endogenous allocation</w:t>
      </w:r>
      <w:r w:rsidRPr="00D005F1">
        <w:t xml:space="preserve"> (power vs export/non-power). That’s a structural extension with new economics (netbacks, etc.).</w:t>
      </w:r>
    </w:p>
    <w:p w14:paraId="5121BD71" w14:textId="77777777" w:rsidR="00D005F1" w:rsidRPr="00D005F1" w:rsidRDefault="00D005F1" w:rsidP="00D005F1">
      <w:r w:rsidRPr="00D005F1">
        <w:t xml:space="preserve">Say </w:t>
      </w:r>
      <w:r w:rsidRPr="00D005F1">
        <w:rPr>
          <w:b/>
          <w:bCs/>
        </w:rPr>
        <w:t>“proceed to Phase 2”</w:t>
      </w:r>
      <w:r w:rsidRPr="00D005F1">
        <w:t xml:space="preserve"> when you’re ready.</w:t>
      </w:r>
    </w:p>
    <w:p w14:paraId="166D7E68" w14:textId="77777777" w:rsidR="00D005F1" w:rsidRPr="00D005F1" w:rsidRDefault="00D005F1" w:rsidP="00D005F1">
      <w:r w:rsidRPr="00D005F1">
        <w:t>Gypwr​+Gycurt​≤Gyavail​</w:t>
      </w:r>
      <w:r w:rsidRPr="00D005F1">
        <w:rPr>
          <w:rFonts w:ascii="Cambria Math" w:hAnsi="Cambria Math" w:cs="Cambria Math"/>
        </w:rPr>
        <w:t>∀</w:t>
      </w:r>
      <w:r w:rsidRPr="00D005F1">
        <w:t>y</w:t>
      </w:r>
    </w:p>
    <w:p w14:paraId="019713E8" w14:textId="77777777" w:rsidR="00D005F1" w:rsidRPr="00D005F1" w:rsidRDefault="00D005F1" w:rsidP="00D005F1">
      <w:r w:rsidRPr="00D005F1">
        <w:t>what does the fourth parameter in this equation represent? i notice it appears in all 3 equations</w:t>
      </w:r>
    </w:p>
    <w:p w14:paraId="1BE360A2" w14:textId="77777777" w:rsidR="00D005F1" w:rsidRPr="00D005F1" w:rsidRDefault="00D005F1" w:rsidP="00D005F1">
      <w:r w:rsidRPr="00D005F1">
        <w:t xml:space="preserve">The </w:t>
      </w:r>
      <w:r w:rsidRPr="00D005F1">
        <w:rPr>
          <w:b/>
          <w:bCs/>
        </w:rPr>
        <w:t>fourth term is not a variable</w:t>
      </w:r>
      <w:r w:rsidRPr="00D005F1">
        <w:t xml:space="preserve">. It is the </w:t>
      </w:r>
      <w:r w:rsidRPr="00D005F1">
        <w:rPr>
          <w:b/>
          <w:bCs/>
        </w:rPr>
        <w:t>index qualifier</w:t>
      </w:r>
      <w:r w:rsidRPr="00D005F1">
        <w:t>.</w:t>
      </w:r>
    </w:p>
    <w:p w14:paraId="7CFEE6EA" w14:textId="77777777" w:rsidR="00D005F1" w:rsidRPr="00D005F1" w:rsidRDefault="00D005F1" w:rsidP="00D005F1">
      <w:r w:rsidRPr="00D005F1">
        <w:t>In</w:t>
      </w:r>
    </w:p>
    <w:p w14:paraId="59ED8FF6" w14:textId="115E7339" w:rsidR="00D005F1" w:rsidRPr="00D005F1" w:rsidRDefault="00D005F1" w:rsidP="00D005F1">
      <m:oMathPara>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curt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avail</m:t>
              </m:r>
            </m:sup>
          </m:sSubSup>
          <m:r>
            <m:rPr>
              <m:nor/>
            </m:rPr>
            <m:t>    </m:t>
          </m:r>
          <m:r>
            <m:rPr>
              <m:sty m:val="p"/>
            </m:rPr>
            <w:rPr>
              <w:rFonts w:ascii="Cambria Math" w:hAnsi="Cambria Math"/>
            </w:rPr>
            <m:t>∀</m:t>
          </m:r>
          <m:r>
            <w:rPr>
              <w:rFonts w:ascii="Cambria Math" w:hAnsi="Cambria Math"/>
            </w:rPr>
            <m:t>y</m:t>
          </m:r>
          <m:r>
            <w:rPr>
              <w:i/>
            </w:rPr>
            <w:br/>
          </m:r>
        </m:oMath>
      </m:oMathPara>
    </w:p>
    <w:p w14:paraId="09B8B6A6" w14:textId="7BD0ACE3" w:rsidR="00D005F1" w:rsidRPr="00D005F1" w:rsidRDefault="00D005F1" w:rsidP="00D005F1">
      <w:pPr>
        <w:rPr>
          <w:b/>
          <w:bCs/>
        </w:rPr>
      </w:pPr>
      <w:r w:rsidRPr="00D005F1">
        <w:rPr>
          <w:b/>
          <w:bCs/>
        </w:rPr>
        <w:t>What “</w:t>
      </w:r>
      <m:oMath>
        <m:r>
          <m:rPr>
            <m:sty m:val="b"/>
          </m:rPr>
          <w:rPr>
            <w:rFonts w:ascii="Cambria Math" w:hAnsi="Cambria Math"/>
          </w:rPr>
          <m:t>∀</m:t>
        </m:r>
        <m:r>
          <m:rPr>
            <m:sty m:val="bi"/>
          </m:rPr>
          <w:rPr>
            <w:rFonts w:ascii="Cambria Math" w:hAnsi="Cambria Math"/>
          </w:rPr>
          <m:t>y</m:t>
        </m:r>
      </m:oMath>
      <w:r w:rsidRPr="00D005F1">
        <w:rPr>
          <w:b/>
          <w:bCs/>
        </w:rPr>
        <w:t>” means</w:t>
      </w:r>
    </w:p>
    <w:p w14:paraId="0E43AF76" w14:textId="1035AB68" w:rsidR="00D005F1" w:rsidRPr="00D005F1" w:rsidRDefault="00D005F1" w:rsidP="00D005F1">
      <w:r w:rsidRPr="00D005F1">
        <w:lastRenderedPageBreak/>
        <w:t xml:space="preserve">It means </w:t>
      </w:r>
      <w:r w:rsidRPr="00D005F1">
        <w:rPr>
          <w:b/>
          <w:bCs/>
        </w:rPr>
        <w:t xml:space="preserve">“for all years </w:t>
      </w:r>
      <m:oMath>
        <m:r>
          <w:rPr>
            <w:rFonts w:ascii="Cambria Math" w:hAnsi="Cambria Math"/>
          </w:rPr>
          <m:t>y</m:t>
        </m:r>
      </m:oMath>
      <w:r w:rsidRPr="00D005F1">
        <w:rPr>
          <w:b/>
          <w:bCs/>
        </w:rPr>
        <w:t>”</w:t>
      </w:r>
      <w:r w:rsidRPr="00D005F1">
        <w:t xml:space="preserve"> in your planning horizon.</w:t>
      </w:r>
    </w:p>
    <w:p w14:paraId="55AEFB56" w14:textId="77777777" w:rsidR="00D005F1" w:rsidRPr="00D005F1" w:rsidRDefault="00D005F1" w:rsidP="00D005F1">
      <w:r w:rsidRPr="00D005F1">
        <w:t>Formally:</w:t>
      </w:r>
    </w:p>
    <w:p w14:paraId="34ECF84C" w14:textId="146D6AF9" w:rsidR="00D005F1" w:rsidRPr="00D005F1" w:rsidRDefault="00D005F1" w:rsidP="00D005F1">
      <w:pPr>
        <w:numPr>
          <w:ilvl w:val="0"/>
          <w:numId w:val="6"/>
        </w:numPr>
      </w:pPr>
      <m:oMath>
        <m:r>
          <w:rPr>
            <w:rFonts w:ascii="Cambria Math" w:hAnsi="Cambria Math"/>
          </w:rPr>
          <m:t>y</m:t>
        </m:r>
      </m:oMath>
      <w:r w:rsidRPr="00D005F1">
        <w:t>indexes time (annual resolution).</w:t>
      </w:r>
    </w:p>
    <w:p w14:paraId="01FE3E3A" w14:textId="328956F2" w:rsidR="00D005F1" w:rsidRPr="00D005F1" w:rsidRDefault="00D005F1" w:rsidP="00D005F1">
      <w:pPr>
        <w:numPr>
          <w:ilvl w:val="0"/>
          <w:numId w:val="6"/>
        </w:numPr>
      </w:pPr>
      <m:oMath>
        <m:r>
          <w:rPr>
            <w:rFonts w:ascii="Cambria Math" w:hAnsi="Cambria Math"/>
          </w:rPr>
          <m:t>y∈{2025,2026,…,2045}</m:t>
        </m:r>
      </m:oMath>
      <w:r w:rsidRPr="00D005F1">
        <w:t>.</w:t>
      </w:r>
    </w:p>
    <w:p w14:paraId="11A5D68B" w14:textId="77777777" w:rsidR="00D005F1" w:rsidRPr="00D005F1" w:rsidRDefault="00D005F1" w:rsidP="00D005F1">
      <w:pPr>
        <w:numPr>
          <w:ilvl w:val="0"/>
          <w:numId w:val="6"/>
        </w:numPr>
      </w:pPr>
      <w:r w:rsidRPr="00D005F1">
        <w:t xml:space="preserve">The constraint is enforced </w:t>
      </w:r>
      <w:r w:rsidRPr="00D005F1">
        <w:rPr>
          <w:b/>
          <w:bCs/>
        </w:rPr>
        <w:t>independently in every year</w:t>
      </w:r>
      <w:r w:rsidRPr="00D005F1">
        <w:t>.</w:t>
      </w:r>
    </w:p>
    <w:p w14:paraId="22245111" w14:textId="77777777" w:rsidR="00D005F1" w:rsidRPr="00D005F1" w:rsidRDefault="00D005F1" w:rsidP="00D005F1">
      <w:r w:rsidRPr="00D005F1">
        <w:t>So this is shorthand for:</w:t>
      </w:r>
    </w:p>
    <w:p w14:paraId="6646B6FD" w14:textId="6FDFD80A" w:rsidR="00D005F1" w:rsidRPr="00D005F1" w:rsidRDefault="00D005F1" w:rsidP="00D005F1">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G</m:t>
                    </m:r>
                  </m:e>
                  <m:sub>
                    <m:r>
                      <w:rPr>
                        <w:rFonts w:ascii="Cambria Math" w:hAnsi="Cambria Math"/>
                      </w:rPr>
                      <m:t>2025</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2025</m:t>
                    </m:r>
                  </m:sub>
                  <m:sup>
                    <m:r>
                      <w:rPr>
                        <w:rFonts w:ascii="Cambria Math" w:hAnsi="Cambria Math"/>
                      </w:rPr>
                      <m:t>curt</m:t>
                    </m:r>
                  </m:sup>
                </m:sSubSup>
              </m:e>
              <m:e>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2025</m:t>
                    </m:r>
                  </m:sub>
                  <m:sup>
                    <m:r>
                      <w:rPr>
                        <w:rFonts w:ascii="Cambria Math" w:hAnsi="Cambria Math"/>
                      </w:rPr>
                      <m:t>avail</m:t>
                    </m:r>
                  </m:sup>
                </m:sSubSup>
              </m:e>
            </m:mr>
            <m:mr>
              <m:e>
                <m:sSubSup>
                  <m:sSubSupPr>
                    <m:ctrlPr>
                      <w:rPr>
                        <w:rFonts w:ascii="Cambria Math" w:hAnsi="Cambria Math"/>
                      </w:rPr>
                    </m:ctrlPr>
                  </m:sSubSupPr>
                  <m:e>
                    <m:r>
                      <w:rPr>
                        <w:rFonts w:ascii="Cambria Math" w:hAnsi="Cambria Math"/>
                      </w:rPr>
                      <m:t>G</m:t>
                    </m:r>
                  </m:e>
                  <m:sub>
                    <m:r>
                      <w:rPr>
                        <w:rFonts w:ascii="Cambria Math" w:hAnsi="Cambria Math"/>
                      </w:rPr>
                      <m:t>2026</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2026</m:t>
                    </m:r>
                  </m:sub>
                  <m:sup>
                    <m:r>
                      <w:rPr>
                        <w:rFonts w:ascii="Cambria Math" w:hAnsi="Cambria Math"/>
                      </w:rPr>
                      <m:t>curt</m:t>
                    </m:r>
                  </m:sup>
                </m:sSubSup>
              </m:e>
              <m:e>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2026</m:t>
                    </m:r>
                  </m:sub>
                  <m:sup>
                    <m:r>
                      <w:rPr>
                        <w:rFonts w:ascii="Cambria Math" w:hAnsi="Cambria Math"/>
                      </w:rPr>
                      <m:t>avail</m:t>
                    </m:r>
                  </m:sup>
                </m:sSubSup>
              </m:e>
            </m:mr>
            <m:mr>
              <m:e/>
              <m:e>
                <m:r>
                  <m:rPr>
                    <m:sty m:val="p"/>
                  </m:rPr>
                  <w:rPr>
                    <w:rFonts w:ascii="Cambria Math" w:hAnsi="Cambria Math"/>
                  </w:rPr>
                  <m:t>⋮</m:t>
                </m:r>
                <m:phant>
                  <m:phantPr>
                    <m:zeroAsc m:val="1"/>
                    <m:ctrlPr>
                      <w:rPr>
                        <w:rFonts w:ascii="Cambria Math" w:hAnsi="Cambria Math"/>
                      </w:rPr>
                    </m:ctrlPr>
                  </m:phantPr>
                  <m:e/>
                </m:phant>
              </m:e>
            </m:mr>
            <m:mr>
              <m:e>
                <m:sSubSup>
                  <m:sSubSupPr>
                    <m:ctrlPr>
                      <w:rPr>
                        <w:rFonts w:ascii="Cambria Math" w:hAnsi="Cambria Math"/>
                      </w:rPr>
                    </m:ctrlPr>
                  </m:sSubSupPr>
                  <m:e>
                    <m:r>
                      <w:rPr>
                        <w:rFonts w:ascii="Cambria Math" w:hAnsi="Cambria Math"/>
                      </w:rPr>
                      <m:t>G</m:t>
                    </m:r>
                  </m:e>
                  <m:sub>
                    <m:r>
                      <w:rPr>
                        <w:rFonts w:ascii="Cambria Math" w:hAnsi="Cambria Math"/>
                      </w:rPr>
                      <m:t>2045</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2045</m:t>
                    </m:r>
                  </m:sub>
                  <m:sup>
                    <m:r>
                      <w:rPr>
                        <w:rFonts w:ascii="Cambria Math" w:hAnsi="Cambria Math"/>
                      </w:rPr>
                      <m:t>curt</m:t>
                    </m:r>
                  </m:sup>
                </m:sSubSup>
              </m:e>
              <m:e>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2045</m:t>
                    </m:r>
                  </m:sub>
                  <m:sup>
                    <m:r>
                      <w:rPr>
                        <w:rFonts w:ascii="Cambria Math" w:hAnsi="Cambria Math"/>
                      </w:rPr>
                      <m:t>avail</m:t>
                    </m:r>
                  </m:sup>
                </m:sSubSup>
              </m:e>
            </m:mr>
          </m:m>
          <m:r>
            <w:br/>
          </m:r>
        </m:oMath>
      </m:oMathPara>
    </w:p>
    <w:p w14:paraId="41E7027E" w14:textId="77777777" w:rsidR="00D005F1" w:rsidRPr="00D005F1" w:rsidRDefault="00D005F1" w:rsidP="00D005F1">
      <w:r w:rsidRPr="00D005F1">
        <w:pict w14:anchorId="3ECE1080">
          <v:rect id="_x0000_i1066" style="width:0;height:1.5pt" o:hralign="center" o:hrstd="t" o:hr="t" fillcolor="#a0a0a0" stroked="f"/>
        </w:pict>
      </w:r>
    </w:p>
    <w:p w14:paraId="56577BE8" w14:textId="77777777" w:rsidR="00D005F1" w:rsidRPr="00D005F1" w:rsidRDefault="00D005F1" w:rsidP="00D005F1">
      <w:pPr>
        <w:rPr>
          <w:b/>
          <w:bCs/>
        </w:rPr>
      </w:pPr>
      <w:r w:rsidRPr="00D005F1">
        <w:rPr>
          <w:b/>
          <w:bCs/>
        </w:rPr>
        <w:t>Why it appears in all three equations</w:t>
      </w:r>
    </w:p>
    <w:p w14:paraId="75394ED7" w14:textId="77777777" w:rsidR="00D005F1" w:rsidRPr="00D005F1" w:rsidRDefault="00D005F1" w:rsidP="00D005F1">
      <w:r w:rsidRPr="00D005F1">
        <w:t xml:space="preserve">All three equations are </w:t>
      </w:r>
      <w:r w:rsidRPr="00D005F1">
        <w:rPr>
          <w:b/>
          <w:bCs/>
        </w:rPr>
        <w:t>annual constraints</w:t>
      </w:r>
      <w:r w:rsidRPr="00D005F1">
        <w:t>, not cumulative ones:</w:t>
      </w:r>
    </w:p>
    <w:p w14:paraId="32928CF6" w14:textId="77777777" w:rsidR="00D005F1" w:rsidRPr="00D005F1" w:rsidRDefault="00D005F1" w:rsidP="00D005F1">
      <w:pPr>
        <w:numPr>
          <w:ilvl w:val="0"/>
          <w:numId w:val="7"/>
        </w:numPr>
      </w:pPr>
      <w:r w:rsidRPr="00D005F1">
        <w:rPr>
          <w:b/>
          <w:bCs/>
        </w:rPr>
        <w:t>Gas balance</w:t>
      </w:r>
    </w:p>
    <w:p w14:paraId="3B3680C6" w14:textId="69A9BDBC" w:rsidR="00D005F1" w:rsidRPr="00D005F1" w:rsidRDefault="00D005F1" w:rsidP="00D005F1">
      <m:oMathPara>
        <m:oMath>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curt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avail</m:t>
              </m:r>
            </m:sup>
          </m:sSubSup>
          <m:r>
            <m:rPr>
              <m:sty m:val="p"/>
            </m:rPr>
            <w:rPr>
              <w:rFonts w:ascii="Cambria Math" w:hAnsi="Cambria Math"/>
            </w:rPr>
            <m:t>∀</m:t>
          </m:r>
          <m:r>
            <w:rPr>
              <w:rFonts w:ascii="Cambria Math" w:hAnsi="Cambria Math"/>
            </w:rPr>
            <m:t>y</m:t>
          </m:r>
          <m:r>
            <w:rPr>
              <w:i/>
            </w:rPr>
            <w:br/>
          </m:r>
        </m:oMath>
      </m:oMathPara>
    </w:p>
    <w:p w14:paraId="34F709BE" w14:textId="77777777" w:rsidR="00D005F1" w:rsidRPr="00D005F1" w:rsidRDefault="00D005F1" w:rsidP="00D005F1">
      <w:pPr>
        <w:numPr>
          <w:ilvl w:val="0"/>
          <w:numId w:val="8"/>
        </w:numPr>
      </w:pPr>
      <w:r w:rsidRPr="00D005F1">
        <w:rPr>
          <w:b/>
          <w:bCs/>
        </w:rPr>
        <w:t>Gas-to-power conversion</w:t>
      </w:r>
    </w:p>
    <w:p w14:paraId="043D8163" w14:textId="3F075EF6" w:rsidR="00D005F1" w:rsidRPr="00D005F1" w:rsidRDefault="00D005F1" w:rsidP="00D005F1">
      <m:oMathPara>
        <m:oMath>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gas</m:t>
              </m:r>
            </m:sup>
          </m:sSubSup>
          <m:r>
            <w:rPr>
              <w:rFonts w:ascii="Cambria Math" w:hAnsi="Cambria Math"/>
            </w:rPr>
            <m:t>=η</m:t>
          </m:r>
          <m:r>
            <m:rPr>
              <m:nor/>
            </m:rPr>
            <m:t> </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pwr</m:t>
              </m:r>
            </m:sup>
          </m:sSubSup>
          <m:r>
            <m:rPr>
              <m:sty m:val="p"/>
            </m:rPr>
            <w:rPr>
              <w:rFonts w:ascii="Cambria Math" w:hAnsi="Cambria Math"/>
            </w:rPr>
            <m:t>∀</m:t>
          </m:r>
          <m:r>
            <w:rPr>
              <w:rFonts w:ascii="Cambria Math" w:hAnsi="Cambria Math"/>
            </w:rPr>
            <m:t>y</m:t>
          </m:r>
          <m:r>
            <w:rPr>
              <w:i/>
            </w:rPr>
            <w:br/>
          </m:r>
        </m:oMath>
      </m:oMathPara>
    </w:p>
    <w:p w14:paraId="469971C1" w14:textId="77777777" w:rsidR="00D005F1" w:rsidRPr="00D005F1" w:rsidRDefault="00D005F1" w:rsidP="00D005F1">
      <w:pPr>
        <w:numPr>
          <w:ilvl w:val="0"/>
          <w:numId w:val="9"/>
        </w:numPr>
      </w:pPr>
      <w:r w:rsidRPr="00D005F1">
        <w:rPr>
          <w:b/>
          <w:bCs/>
        </w:rPr>
        <w:t>Electricity adequacy</w:t>
      </w:r>
    </w:p>
    <w:p w14:paraId="07ADDB33" w14:textId="40192CC5" w:rsidR="00D005F1" w:rsidRPr="00D005F1" w:rsidRDefault="00D005F1" w:rsidP="00D005F1">
      <m:oMathPara>
        <m:oMath>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gas</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solar</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stor</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r>
            <w:rPr>
              <w:rFonts w:ascii="Cambria Math" w:hAnsi="Cambria Math"/>
            </w:rPr>
            <m:t>y</m:t>
          </m:r>
          <m:r>
            <w:rPr>
              <w:i/>
            </w:rPr>
            <w:br/>
          </m:r>
        </m:oMath>
      </m:oMathPara>
    </w:p>
    <w:p w14:paraId="33BEDE16" w14:textId="77777777" w:rsidR="00D005F1" w:rsidRPr="00D005F1" w:rsidRDefault="00D005F1" w:rsidP="00D005F1">
      <w:r w:rsidRPr="00D005F1">
        <w:t xml:space="preserve">Each year is solved as a </w:t>
      </w:r>
      <w:r w:rsidRPr="00D005F1">
        <w:rPr>
          <w:b/>
          <w:bCs/>
        </w:rPr>
        <w:t>separate accounting period</w:t>
      </w:r>
      <w:r w:rsidRPr="00D005F1">
        <w:t>, linked only through capacity decisions (solar build slope, storage size), not through energy carryover.</w:t>
      </w:r>
    </w:p>
    <w:p w14:paraId="3C5AD26D" w14:textId="77777777" w:rsidR="00D005F1" w:rsidRPr="00D005F1" w:rsidRDefault="00D005F1" w:rsidP="00D005F1">
      <w:r w:rsidRPr="00D005F1">
        <w:pict w14:anchorId="025BE5AE">
          <v:rect id="_x0000_i1067" style="width:0;height:1.5pt" o:hralign="center" o:hrstd="t" o:hr="t" fillcolor="#a0a0a0" stroked="f"/>
        </w:pict>
      </w:r>
    </w:p>
    <w:p w14:paraId="034770AD" w14:textId="77777777" w:rsidR="00D005F1" w:rsidRPr="00D005F1" w:rsidRDefault="00D005F1" w:rsidP="00D005F1">
      <w:pPr>
        <w:rPr>
          <w:b/>
          <w:bCs/>
        </w:rPr>
      </w:pPr>
      <w:r w:rsidRPr="00D005F1">
        <w:rPr>
          <w:b/>
          <w:bCs/>
        </w:rPr>
        <w:t>Why this matters conceptually</w:t>
      </w:r>
    </w:p>
    <w:p w14:paraId="66BA3E7D" w14:textId="77777777" w:rsidR="00D005F1" w:rsidRPr="00D005F1" w:rsidRDefault="00D005F1" w:rsidP="00D005F1">
      <w:pPr>
        <w:numPr>
          <w:ilvl w:val="0"/>
          <w:numId w:val="10"/>
        </w:numPr>
      </w:pPr>
      <w:r w:rsidRPr="00D005F1">
        <w:t xml:space="preserve">There is </w:t>
      </w:r>
      <w:r w:rsidRPr="00D005F1">
        <w:rPr>
          <w:b/>
          <w:bCs/>
        </w:rPr>
        <w:t>no borrowing gas from future years</w:t>
      </w:r>
      <w:r w:rsidRPr="00D005F1">
        <w:t>.</w:t>
      </w:r>
    </w:p>
    <w:p w14:paraId="11FC309C" w14:textId="77777777" w:rsidR="00D005F1" w:rsidRPr="00D005F1" w:rsidRDefault="00D005F1" w:rsidP="00D005F1">
      <w:pPr>
        <w:numPr>
          <w:ilvl w:val="0"/>
          <w:numId w:val="10"/>
        </w:numPr>
      </w:pPr>
      <w:r w:rsidRPr="00D005F1">
        <w:lastRenderedPageBreak/>
        <w:t>Scarcity in 2035 does not get “smoothed” by abundance in 2025.</w:t>
      </w:r>
    </w:p>
    <w:p w14:paraId="12E18A12" w14:textId="77777777" w:rsidR="00D005F1" w:rsidRPr="00D005F1" w:rsidRDefault="00D005F1" w:rsidP="00D005F1">
      <w:pPr>
        <w:numPr>
          <w:ilvl w:val="0"/>
          <w:numId w:val="10"/>
        </w:numPr>
      </w:pPr>
      <w:r w:rsidRPr="00D005F1">
        <w:t xml:space="preserve">This is exactly what you want for </w:t>
      </w:r>
      <w:r w:rsidRPr="00D005F1">
        <w:rPr>
          <w:b/>
          <w:bCs/>
        </w:rPr>
        <w:t>energy security analysis</w:t>
      </w:r>
      <w:r w:rsidRPr="00D005F1">
        <w:t>.</w:t>
      </w:r>
    </w:p>
    <w:p w14:paraId="717A8D42" w14:textId="615A9901" w:rsidR="00D005F1" w:rsidRPr="00D005F1" w:rsidRDefault="00D005F1" w:rsidP="00D005F1">
      <w:r w:rsidRPr="00D005F1">
        <w:t xml:space="preserve">If you ever see a summation like </w:t>
      </w:r>
      <m:oMath>
        <m:nary>
          <m:naryPr>
            <m:chr m:val="∑"/>
            <m:limLoc m:val="subSup"/>
            <m:grow m:val="1"/>
            <m:supHide m:val="1"/>
            <m:ctrlPr>
              <w:rPr>
                <w:rFonts w:ascii="Cambria Math" w:hAnsi="Cambria Math"/>
              </w:rPr>
            </m:ctrlPr>
          </m:naryPr>
          <m:sub>
            <m:r>
              <w:rPr>
                <w:rFonts w:ascii="Cambria Math" w:hAnsi="Cambria Math"/>
              </w:rPr>
              <m:t>y</m:t>
            </m:r>
          </m:sub>
          <m:sup/>
          <m:e/>
        </m:nary>
      </m:oMath>
      <w:r w:rsidRPr="00D005F1">
        <w:t xml:space="preserve">, that’s a </w:t>
      </w:r>
      <w:r w:rsidRPr="00D005F1">
        <w:rPr>
          <w:b/>
          <w:bCs/>
        </w:rPr>
        <w:t>cumulative</w:t>
      </w:r>
      <w:r w:rsidRPr="00D005F1">
        <w:t xml:space="preserve"> quantity (e.g., total cost, total emissions).</w:t>
      </w:r>
      <w:r w:rsidRPr="00D005F1">
        <w:br/>
        <w:t>If you see “</w:t>
      </w:r>
      <m:oMath>
        <m:r>
          <m:rPr>
            <m:sty m:val="p"/>
          </m:rPr>
          <w:rPr>
            <w:rFonts w:ascii="Cambria Math" w:hAnsi="Cambria Math"/>
          </w:rPr>
          <m:t>∀</m:t>
        </m:r>
        <m:r>
          <w:rPr>
            <w:rFonts w:ascii="Cambria Math" w:hAnsi="Cambria Math"/>
          </w:rPr>
          <m:t>y</m:t>
        </m:r>
      </m:oMath>
      <w:r w:rsidRPr="00D005F1">
        <w:t xml:space="preserve">”, it’s an </w:t>
      </w:r>
      <w:r w:rsidRPr="00D005F1">
        <w:rPr>
          <w:b/>
          <w:bCs/>
        </w:rPr>
        <w:t>annual feasibility condition</w:t>
      </w:r>
      <w:r w:rsidRPr="00D005F1">
        <w:t>.</w:t>
      </w:r>
    </w:p>
    <w:p w14:paraId="058A0A13" w14:textId="77777777" w:rsidR="00D005F1" w:rsidRPr="00D005F1" w:rsidRDefault="00D005F1" w:rsidP="00D005F1">
      <w:r w:rsidRPr="00D005F1">
        <w:pict w14:anchorId="1A86FC43">
          <v:rect id="_x0000_i1068" style="width:0;height:1.5pt" o:hralign="center" o:hrstd="t" o:hr="t" fillcolor="#a0a0a0" stroked="f"/>
        </w:pict>
      </w:r>
    </w:p>
    <w:p w14:paraId="1BB1405D" w14:textId="77777777" w:rsidR="00D005F1" w:rsidRPr="00D005F1" w:rsidRDefault="00D005F1" w:rsidP="00D005F1">
      <w:pPr>
        <w:rPr>
          <w:b/>
          <w:bCs/>
        </w:rPr>
      </w:pPr>
      <w:r w:rsidRPr="00D005F1">
        <w:rPr>
          <w:b/>
          <w:bCs/>
        </w:rPr>
        <w:t>One-sentence thesis-safe explanation</w:t>
      </w:r>
    </w:p>
    <w:p w14:paraId="79FEF1DE" w14:textId="5B77F5F8" w:rsidR="00D005F1" w:rsidRPr="00D005F1" w:rsidRDefault="00D005F1" w:rsidP="00D005F1">
      <w:r w:rsidRPr="00D005F1">
        <w:t xml:space="preserve">“The index </w:t>
      </w:r>
      <m:oMath>
        <m:r>
          <w:rPr>
            <w:rFonts w:ascii="Cambria Math" w:hAnsi="Cambria Math"/>
          </w:rPr>
          <m:t>y</m:t>
        </m:r>
      </m:oMath>
      <w:r w:rsidRPr="00D005F1">
        <w:t xml:space="preserve">denotes the model year, and the notation </w:t>
      </w:r>
      <m:oMath>
        <m:r>
          <m:rPr>
            <m:sty m:val="p"/>
          </m:rPr>
          <w:rPr>
            <w:rFonts w:ascii="Cambria Math" w:hAnsi="Cambria Math"/>
          </w:rPr>
          <m:t>∀</m:t>
        </m:r>
        <m:r>
          <w:rPr>
            <w:rFonts w:ascii="Cambria Math" w:hAnsi="Cambria Math"/>
          </w:rPr>
          <m:t>y</m:t>
        </m:r>
      </m:oMath>
      <w:r w:rsidRPr="00D005F1">
        <w:t>indicates that gas balance, conversion, and electricity adequacy constraints are enforced independently in each year of the planning horizon.”</w:t>
      </w:r>
    </w:p>
    <w:p w14:paraId="40C15A52" w14:textId="77777777" w:rsidR="00D005F1" w:rsidRDefault="00D005F1" w:rsidP="003B5E33"/>
    <w:p w14:paraId="6E0255C5" w14:textId="4524CCDB" w:rsidR="00A2277B" w:rsidRDefault="00A2277B" w:rsidP="003B5E33">
      <w:r w:rsidRPr="00A2277B">
        <w:t xml:space="preserve">This study models gas availability as deliverability committed to the power sector, anchored on NUPRC gas-to-power deliveries. Under this definition, gas allocation between power and export is exogenous and therefore not optimized. </w:t>
      </w:r>
      <w:r w:rsidR="0014602D" w:rsidRPr="0014602D">
        <w:t>Instead, the opportunity cost of gas is quantified diagnostically using the shadow price of the annual gas deliverability constraint, which measures the marginal reduction in optimal system cost achievable from an incremental unit of gas deliverability to power. This marginal value is compared against export netback benchmarks to interpret the economic tension between energy security provisioning and external revenue opportunities.”</w:t>
      </w:r>
    </w:p>
    <w:p w14:paraId="61653B7B" w14:textId="77777777" w:rsidR="00402D23" w:rsidRDefault="00402D23" w:rsidP="003B5E33"/>
    <w:p w14:paraId="250F88EF" w14:textId="77777777" w:rsidR="00402D23" w:rsidRPr="00402D23" w:rsidRDefault="00402D23" w:rsidP="00402D23">
      <w:pPr>
        <w:rPr>
          <w:b/>
          <w:bCs/>
        </w:rPr>
      </w:pPr>
      <w:r w:rsidRPr="00402D23">
        <w:rPr>
          <w:b/>
          <w:bCs/>
        </w:rPr>
        <w:t>One important caution (so you don’t mis-sell it)</w:t>
      </w:r>
    </w:p>
    <w:p w14:paraId="6004FC2F" w14:textId="7B7083D0" w:rsidR="00402D23" w:rsidRPr="00402D23" w:rsidRDefault="00402D23" w:rsidP="00402D23">
      <w:r w:rsidRPr="00402D23">
        <w:t xml:space="preserve">Your </w:t>
      </w:r>
      <m:oMath>
        <m:sSubSup>
          <m:sSubSupPr>
            <m:ctrlPr>
              <w:rPr>
                <w:rFonts w:ascii="Cambria Math" w:hAnsi="Cambria Math"/>
              </w:rPr>
            </m:ctrlPr>
          </m:sSubSupPr>
          <m:e>
            <m:r>
              <w:rPr>
                <w:rFonts w:ascii="Cambria Math" w:hAnsi="Cambria Math"/>
              </w:rPr>
              <m:t>λ</m:t>
            </m:r>
          </m:e>
          <m:sub>
            <m:r>
              <w:rPr>
                <w:rFonts w:ascii="Cambria Math" w:hAnsi="Cambria Math"/>
              </w:rPr>
              <m:t>y</m:t>
            </m:r>
          </m:sub>
          <m:sup>
            <m:r>
              <w:rPr>
                <w:rFonts w:ascii="Cambria Math" w:hAnsi="Cambria Math"/>
              </w:rPr>
              <m:t>gas</m:t>
            </m:r>
          </m:sup>
        </m:sSubSup>
      </m:oMath>
      <w:r w:rsidRPr="00402D23">
        <w:t xml:space="preserve">is driven heavily by </w:t>
      </w:r>
      <w:r w:rsidRPr="00402D23">
        <w:rPr>
          <w:b/>
          <w:bCs/>
        </w:rPr>
        <w:t>UNSERVED_ENERGY_PENALTY</w:t>
      </w:r>
      <w:r w:rsidRPr="00402D23">
        <w:t>. So in thesis language, call it:</w:t>
      </w:r>
    </w:p>
    <w:p w14:paraId="3A4B7C3A" w14:textId="77777777" w:rsidR="00402D23" w:rsidRPr="00402D23" w:rsidRDefault="00402D23" w:rsidP="00402D23">
      <w:r w:rsidRPr="00402D23">
        <w:t>“marginal value of gas deliverability to power under the energy security penalty structure”</w:t>
      </w:r>
    </w:p>
    <w:p w14:paraId="7CE99F26" w14:textId="77777777" w:rsidR="00402D23" w:rsidRPr="00402D23" w:rsidRDefault="00402D23" w:rsidP="00402D23">
      <w:r w:rsidRPr="00402D23">
        <w:t>Not “market value of gas”.</w:t>
      </w:r>
    </w:p>
    <w:p w14:paraId="57ADB985" w14:textId="77777777" w:rsidR="00402D23" w:rsidRDefault="00402D23" w:rsidP="003B5E33"/>
    <w:sectPr w:rsidR="00402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39B"/>
    <w:multiLevelType w:val="multilevel"/>
    <w:tmpl w:val="B9E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90269"/>
    <w:multiLevelType w:val="multilevel"/>
    <w:tmpl w:val="6B60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54C05"/>
    <w:multiLevelType w:val="multilevel"/>
    <w:tmpl w:val="5D8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E093E"/>
    <w:multiLevelType w:val="multilevel"/>
    <w:tmpl w:val="61545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27585"/>
    <w:multiLevelType w:val="multilevel"/>
    <w:tmpl w:val="A5D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64768"/>
    <w:multiLevelType w:val="multilevel"/>
    <w:tmpl w:val="66B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02E84"/>
    <w:multiLevelType w:val="multilevel"/>
    <w:tmpl w:val="651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4975DE"/>
    <w:multiLevelType w:val="multilevel"/>
    <w:tmpl w:val="38A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F06E3"/>
    <w:multiLevelType w:val="multilevel"/>
    <w:tmpl w:val="C59C6B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307EA"/>
    <w:multiLevelType w:val="multilevel"/>
    <w:tmpl w:val="9F2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937059">
    <w:abstractNumId w:val="1"/>
  </w:num>
  <w:num w:numId="2" w16cid:durableId="894197250">
    <w:abstractNumId w:val="9"/>
  </w:num>
  <w:num w:numId="3" w16cid:durableId="161822242">
    <w:abstractNumId w:val="5"/>
  </w:num>
  <w:num w:numId="4" w16cid:durableId="1433668106">
    <w:abstractNumId w:val="4"/>
  </w:num>
  <w:num w:numId="5" w16cid:durableId="2125347738">
    <w:abstractNumId w:val="0"/>
  </w:num>
  <w:num w:numId="6" w16cid:durableId="1536771814">
    <w:abstractNumId w:val="2"/>
  </w:num>
  <w:num w:numId="7" w16cid:durableId="349337157">
    <w:abstractNumId w:val="6"/>
  </w:num>
  <w:num w:numId="8" w16cid:durableId="1579943501">
    <w:abstractNumId w:val="3"/>
  </w:num>
  <w:num w:numId="9" w16cid:durableId="1489594081">
    <w:abstractNumId w:val="8"/>
  </w:num>
  <w:num w:numId="10" w16cid:durableId="1325938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E33"/>
    <w:rsid w:val="0014602D"/>
    <w:rsid w:val="001B47C4"/>
    <w:rsid w:val="002C065F"/>
    <w:rsid w:val="002F4483"/>
    <w:rsid w:val="003B5E33"/>
    <w:rsid w:val="00402D23"/>
    <w:rsid w:val="00564935"/>
    <w:rsid w:val="00572E56"/>
    <w:rsid w:val="00605BED"/>
    <w:rsid w:val="00A2277B"/>
    <w:rsid w:val="00A50EB5"/>
    <w:rsid w:val="00B455BC"/>
    <w:rsid w:val="00D005F1"/>
    <w:rsid w:val="00E54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0F10"/>
  <w15:chartTrackingRefBased/>
  <w15:docId w15:val="{0DAABBC6-946A-4CB8-8185-4D70D360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E33"/>
    <w:rPr>
      <w:rFonts w:eastAsiaTheme="majorEastAsia" w:cstheme="majorBidi"/>
      <w:color w:val="272727" w:themeColor="text1" w:themeTint="D8"/>
    </w:rPr>
  </w:style>
  <w:style w:type="paragraph" w:styleId="Title">
    <w:name w:val="Title"/>
    <w:basedOn w:val="Normal"/>
    <w:next w:val="Normal"/>
    <w:link w:val="TitleChar"/>
    <w:uiPriority w:val="10"/>
    <w:qFormat/>
    <w:rsid w:val="003B5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E33"/>
    <w:pPr>
      <w:spacing w:before="160"/>
      <w:jc w:val="center"/>
    </w:pPr>
    <w:rPr>
      <w:i/>
      <w:iCs/>
      <w:color w:val="404040" w:themeColor="text1" w:themeTint="BF"/>
    </w:rPr>
  </w:style>
  <w:style w:type="character" w:customStyle="1" w:styleId="QuoteChar">
    <w:name w:val="Quote Char"/>
    <w:basedOn w:val="DefaultParagraphFont"/>
    <w:link w:val="Quote"/>
    <w:uiPriority w:val="29"/>
    <w:rsid w:val="003B5E33"/>
    <w:rPr>
      <w:i/>
      <w:iCs/>
      <w:color w:val="404040" w:themeColor="text1" w:themeTint="BF"/>
    </w:rPr>
  </w:style>
  <w:style w:type="paragraph" w:styleId="ListParagraph">
    <w:name w:val="List Paragraph"/>
    <w:basedOn w:val="Normal"/>
    <w:uiPriority w:val="34"/>
    <w:qFormat/>
    <w:rsid w:val="003B5E33"/>
    <w:pPr>
      <w:ind w:left="720"/>
      <w:contextualSpacing/>
    </w:pPr>
  </w:style>
  <w:style w:type="character" w:styleId="IntenseEmphasis">
    <w:name w:val="Intense Emphasis"/>
    <w:basedOn w:val="DefaultParagraphFont"/>
    <w:uiPriority w:val="21"/>
    <w:qFormat/>
    <w:rsid w:val="003B5E33"/>
    <w:rPr>
      <w:i/>
      <w:iCs/>
      <w:color w:val="2F5496" w:themeColor="accent1" w:themeShade="BF"/>
    </w:rPr>
  </w:style>
  <w:style w:type="paragraph" w:styleId="IntenseQuote">
    <w:name w:val="Intense Quote"/>
    <w:basedOn w:val="Normal"/>
    <w:next w:val="Normal"/>
    <w:link w:val="IntenseQuoteChar"/>
    <w:uiPriority w:val="30"/>
    <w:qFormat/>
    <w:rsid w:val="003B5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E33"/>
    <w:rPr>
      <w:i/>
      <w:iCs/>
      <w:color w:val="2F5496" w:themeColor="accent1" w:themeShade="BF"/>
    </w:rPr>
  </w:style>
  <w:style w:type="character" w:styleId="IntenseReference">
    <w:name w:val="Intense Reference"/>
    <w:basedOn w:val="DefaultParagraphFont"/>
    <w:uiPriority w:val="32"/>
    <w:qFormat/>
    <w:rsid w:val="003B5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5</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Sobe-Olisa Nwangene</dc:creator>
  <cp:keywords/>
  <dc:description/>
  <cp:lastModifiedBy>Sobe-Olisa Nwangene</cp:lastModifiedBy>
  <cp:revision>4</cp:revision>
  <dcterms:created xsi:type="dcterms:W3CDTF">2026-01-31T16:45:00Z</dcterms:created>
  <dcterms:modified xsi:type="dcterms:W3CDTF">2026-02-01T10:54:00Z</dcterms:modified>
</cp:coreProperties>
</file>