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0d4f8b"/>
          <w:sz w:val="96"/>
          <w:szCs w:val="96"/>
        </w:rPr>
        <w:t xml:space="preserve">jAI</w:t>
      </w:r>
    </w:p>
    <w:p>
      <w:pPr>
        <w:spacing w:after="200"/>
        <w:jc w:val="center"/>
      </w:pPr>
      <w:r>
        <w:rPr>
          <w:rFonts w:ascii="Arial" w:cs="Arial" w:eastAsia="Arial" w:hAnsi="Arial"/>
          <w:color w:val="5f6368"/>
          <w:sz w:val="32"/>
          <w:szCs w:val="32"/>
        </w:rPr>
        <w:t xml:space="preserve">Jai Infoway Artificial Intelligence Platform</w:t>
      </w:r>
    </w:p>
    <w:p>
      <w:pPr>
        <w:spacing w:before="400"/>
      </w:pPr>
    </w:p>
    <w:p>
      <w:pPr>
        <w:jc w:val="center"/>
      </w:pPr>
      <w:r>
        <w:rPr>
          <w:rFonts w:ascii="Arial" w:cs="Arial" w:eastAsia="Arial" w:hAnsi="Arial"/>
          <w:b/>
          <w:bCs/>
          <w:color w:val="202124"/>
          <w:sz w:val="48"/>
          <w:szCs w:val="48"/>
        </w:rPr>
        <w:t xml:space="preserve">Agent Characteristics Framework</w:t>
      </w:r>
    </w:p>
    <w:p>
      <w:pPr>
        <w:spacing w:before="100"/>
        <w:jc w:val="center"/>
      </w:pPr>
      <w:r>
        <w:rPr>
          <w:rFonts w:ascii="Arial" w:cs="Arial" w:eastAsia="Arial" w:hAnsi="Arial"/>
          <w:color w:val="1a73e8"/>
          <w:sz w:val="28"/>
          <w:szCs w:val="28"/>
        </w:rPr>
        <w:t xml:space="preserve">Building the Most Powerful Enterprise AI Agents</w:t>
      </w:r>
    </w:p>
    <w:p>
      <w:pPr>
        <w:spacing w:before="600"/>
      </w:pPr>
    </w:p>
    <w:p>
      <w:pPr>
        <w:jc w:val="center"/>
      </w:pPr>
      <w:r>
        <w:rPr>
          <w:rFonts w:ascii="Arial" w:cs="Arial" w:eastAsia="Arial" w:hAnsi="Arial"/>
          <w:color w:val="e8eaed"/>
          <w:sz w:val="24"/>
          <w:szCs w:val="24"/>
        </w:rPr>
        <w:t xml:space="preserve">━━━━━━━━━━━━━━━━━━━━━━━━━━━━━━━━━━━━━━━━━━━</w:t>
      </w:r>
    </w:p>
    <w:p>
      <w:pPr>
        <w:spacing w:before="200"/>
      </w:pPr>
    </w:p>
    <w:p>
      <w:pPr>
        <w:jc w:val="center"/>
      </w:pPr>
      <w:r>
        <w:rPr>
          <w:rFonts w:ascii="Arial" w:cs="Arial" w:eastAsia="Arial" w:hAnsi="Arial"/>
          <w:color w:val="5f6368"/>
          <w:sz w:val="22"/>
          <w:szCs w:val="22"/>
        </w:rPr>
        <w:t xml:space="preserve">Version 1.0.0  |  December 2024</w:t>
      </w:r>
    </w:p>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f8b" w:sz="2"/>
              <w:left w:val="single" w:color="0d4f8b" w:sz="2"/>
              <w:bottom w:val="single" w:color="0d4f8b" w:sz="2"/>
              <w:right w:val="single" w:color="0d4f8b" w:sz="2"/>
            </w:tcBorders>
            <w:shd w:fill="e8f0fe" w:val="clear"/>
          </w:tcPr>
          <w:p>
            <w:pPr>
              <w:spacing w:before="150" w:after="100"/>
              <w:jc w:val="center"/>
            </w:pPr>
            <w:r>
              <w:rPr>
                <w:rFonts w:ascii="Arial" w:cs="Arial" w:eastAsia="Arial" w:hAnsi="Arial"/>
                <w:color w:val="202124"/>
                <w:sz w:val="22"/>
                <w:szCs w:val="22"/>
              </w:rPr>
              <w:t xml:space="preserve">13 Core Agent Characteristics  •  Insurance &amp; Banking Configurations</w:t>
            </w:r>
          </w:p>
          <w:p>
            <w:pPr>
              <w:spacing w:before="0" w:after="150"/>
              <w:jc w:val="center"/>
            </w:pPr>
            <w:r>
              <w:rPr>
                <w:rFonts w:ascii="Arial" w:cs="Arial" w:eastAsia="Arial" w:hAnsi="Arial"/>
                <w:color w:val="202124"/>
                <w:sz w:val="22"/>
                <w:szCs w:val="22"/>
              </w:rPr>
              <w:t xml:space="preserve">Knowledge Graph Integration  •  Multi-Agent Collaboration  •  Architecture Diagrams</w:t>
            </w:r>
          </w:p>
        </w:tc>
      </w:tr>
    </w:tbl>
    <w:p>
      <w:r>
        <w:br w:type="page"/>
      </w:r>
    </w:p>
    <w:p>
      <w:pPr>
        <w:pStyle w:val="Heading1"/>
        <w:spacing w:before="400" w:after="200"/>
      </w:pPr>
      <w:r>
        <w:rPr>
          <w:rFonts w:ascii="Arial" w:cs="Arial" w:eastAsia="Arial" w:hAnsi="Arial"/>
          <w:b/>
          <w:bCs/>
          <w:color w:val="0d4f8b"/>
          <w:sz w:val="36"/>
          <w:szCs w:val="36"/>
        </w:rPr>
        <w:t xml:space="preserve">1. Executive Summary</w:t>
      </w:r>
    </w:p>
    <w:p>
      <w:pPr>
        <w:spacing w:before="100" w:after="100"/>
        <w:jc w:val="left"/>
      </w:pPr>
      <w:r>
        <w:rPr>
          <w:rFonts w:ascii="Arial" w:cs="Arial" w:eastAsia="Arial" w:hAnsi="Arial"/>
          <w:color w:val="202124"/>
          <w:sz w:val="22"/>
          <w:szCs w:val="22"/>
        </w:rPr>
        <w:t xml:space="preserve">jAI (Jai Infoway Artificial Intelligence Platform) represents a quantum leap in enterprise AI agent technology. This document defines the comprehensive framework of 13 core characteristics that make jAI agents the most powerful, intelligent, and trustworthy AI agents available for enterprise deployment.</w:t>
      </w:r>
    </w:p>
    <w:p>
      <w:pPr>
        <w:spacing w:before="200"/>
      </w:pPr>
    </w:p>
    <w:p>
      <w:pPr>
        <w:pStyle w:val="Heading3"/>
        <w:spacing w:before="200" w:after="100"/>
      </w:pPr>
      <w:r>
        <w:rPr>
          <w:rFonts w:ascii="Arial" w:cs="Arial" w:eastAsia="Arial" w:hAnsi="Arial"/>
          <w:b/>
          <w:bCs/>
          <w:color w:val="202124"/>
          <w:sz w:val="24"/>
          <w:szCs w:val="24"/>
        </w:rPr>
        <w:t xml:space="preserve">Key Differentiators vs Competitors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Capability</w:t>
            </w:r>
          </w:p>
        </w:tc>
        <w:tc>
          <w:tcPr>
            <w:tcW w:type="dxa" w:w="1200"/>
            <w:tcBorders>
              <w:top w:val="single" w:color="0d4f8b" w:sz="2"/>
              <w:left w:val="single" w:color="0d4f8b" w:sz="2"/>
              <w:bottom w:val="single" w:color="0d4f8b" w:sz="2"/>
              <w:right w:val="single" w:color="0d4f8b" w:sz="2"/>
            </w:tcBorders>
            <w:shd w:fill="34a853" w:val="clear"/>
            <w:vAlign w:val="center"/>
          </w:tcPr>
          <w:p>
            <w:pPr>
              <w:jc w:val="center"/>
            </w:pPr>
            <w:r>
              <w:rPr>
                <w:rFonts w:ascii="Arial" w:cs="Arial" w:eastAsia="Arial" w:hAnsi="Arial"/>
                <w:b/>
                <w:bCs/>
                <w:color w:val="ffffff"/>
                <w:sz w:val="20"/>
                <w:szCs w:val="20"/>
              </w:rPr>
              <w:t xml:space="preserve">jAI</w:t>
            </w:r>
          </w:p>
        </w:tc>
        <w:tc>
          <w:tcPr>
            <w:tcW w:type="dxa" w:w="12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Kore.ai</w:t>
            </w:r>
          </w:p>
        </w:tc>
        <w:tc>
          <w:tcPr>
            <w:tcW w:type="dxa" w:w="12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Glean</w:t>
            </w:r>
          </w:p>
        </w:tc>
        <w:tc>
          <w:tcPr>
            <w:tcW w:type="dxa" w:w="12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Writer</w:t>
            </w:r>
          </w:p>
        </w:tc>
        <w:tc>
          <w:tcPr>
            <w:tcW w:type="dxa" w:w="156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Hippocratic</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True Agentic AI</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Multi-Agent Collaboration</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Knowledge Graph Reasoning</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MCP Gateway Integration</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On-Premises Deployment</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Full Explainability</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Regulatory Compliance</w:t>
            </w:r>
          </w:p>
        </w:tc>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w:t>
            </w:r>
          </w:p>
        </w:tc>
        <w:tc>
          <w:tcPr>
            <w:tcW w:type="dxa" w:w="156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val="false"/>
                <w:bCs w:val="false"/>
                <w:color w:val="202124"/>
                <w:sz w:val="20"/>
                <w:szCs w:val="20"/>
              </w:rPr>
              <w:t xml:space="preserve">✓✓✓</w:t>
            </w:r>
          </w:p>
        </w:tc>
      </w:tr>
    </w:tbl>
    <w:p>
      <w:pPr>
        <w:spacing w:before="100" w:after="100"/>
        <w:jc w:val="left"/>
      </w:pPr>
      <w:r>
        <w:rPr>
          <w:rFonts w:ascii="Arial" w:cs="Arial" w:eastAsia="Arial" w:hAnsi="Arial"/>
          <w:i/>
          <w:iCs/>
          <w:color w:val="202124"/>
          <w:sz w:val="22"/>
          <w:szCs w:val="22"/>
        </w:rPr>
        <w:t xml:space="preserve">Legend: ✓✓✓ = Best-in-class, ✓✓ = Strong, ✓ = Basic, ✗ = Not available</w:t>
      </w:r>
    </w:p>
    <w:p>
      <w:pPr>
        <w:spacing w:before="300"/>
      </w:pPr>
    </w:p>
    <w:p>
      <w:pPr>
        <w:pStyle w:val="Heading3"/>
        <w:spacing w:before="200" w:after="100"/>
      </w:pPr>
      <w:r>
        <w:rPr>
          <w:rFonts w:ascii="Arial" w:cs="Arial" w:eastAsia="Arial" w:hAnsi="Arial"/>
          <w:b/>
          <w:bCs/>
          <w:color w:val="202124"/>
          <w:sz w:val="24"/>
          <w:szCs w:val="24"/>
        </w:rPr>
        <w:t xml:space="preserve">Target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Metric</w:t>
            </w:r>
          </w:p>
        </w:tc>
        <w:tc>
          <w:tcPr>
            <w:tcW w:type="dxa" w:w="46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Target Improvement</w:t>
            </w:r>
          </w:p>
        </w:tc>
      </w:tr>
      <w:tr>
        <w:tc>
          <w:tcPr>
            <w:tcW w:type="dxa" w:w="4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Claims Processing Time</w:t>
            </w:r>
          </w:p>
        </w:tc>
        <w:tc>
          <w:tcPr>
            <w:tcW w:type="dxa" w:w="46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45 min → 4.2 sec (99% faster)</w:t>
            </w:r>
          </w:p>
        </w:tc>
      </w:tr>
      <w:tr>
        <w:tc>
          <w:tcPr>
            <w:tcW w:type="dxa" w:w="46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Loan Origination Time</w:t>
            </w:r>
          </w:p>
        </w:tc>
        <w:tc>
          <w:tcPr>
            <w:tcW w:type="dxa" w:w="46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2-3 days → 8.7 sec (99.9% faster)</w:t>
            </w:r>
          </w:p>
        </w:tc>
      </w:tr>
      <w:tr>
        <w:tc>
          <w:tcPr>
            <w:tcW w:type="dxa" w:w="4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Agent Productivity</w:t>
            </w:r>
          </w:p>
        </w:tc>
        <w:tc>
          <w:tcPr>
            <w:tcW w:type="dxa" w:w="46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+40% increase in throughput</w:t>
            </w:r>
          </w:p>
        </w:tc>
      </w:tr>
      <w:tr>
        <w:tc>
          <w:tcPr>
            <w:tcW w:type="dxa" w:w="46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Fraud Detection Rate</w:t>
            </w:r>
          </w:p>
        </w:tc>
        <w:tc>
          <w:tcPr>
            <w:tcW w:type="dxa" w:w="46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+35% improvement</w:t>
            </w:r>
          </w:p>
        </w:tc>
      </w:tr>
      <w:tr>
        <w:tc>
          <w:tcPr>
            <w:tcW w:type="dxa" w:w="4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Compliance Accuracy</w:t>
            </w:r>
          </w:p>
        </w:tc>
        <w:tc>
          <w:tcPr>
            <w:tcW w:type="dxa" w:w="46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99.7% regulatory compliance</w:t>
            </w:r>
          </w:p>
        </w:tc>
      </w:tr>
    </w:tbl>
    <w:p>
      <w:r>
        <w:br w:type="page"/>
      </w:r>
    </w:p>
    <w:p>
      <w:pPr>
        <w:pStyle w:val="Heading1"/>
        <w:spacing w:before="400" w:after="200"/>
      </w:pPr>
      <w:r>
        <w:rPr>
          <w:rFonts w:ascii="Arial" w:cs="Arial" w:eastAsia="Arial" w:hAnsi="Arial"/>
          <w:b/>
          <w:bCs/>
          <w:color w:val="0d4f8b"/>
          <w:sz w:val="36"/>
          <w:szCs w:val="36"/>
        </w:rPr>
        <w:t xml:space="preserve">2. The 13 Agent Characteristics Framework</w:t>
      </w:r>
    </w:p>
    <w:p>
      <w:pPr>
        <w:spacing w:before="100" w:after="100"/>
        <w:jc w:val="left"/>
      </w:pPr>
      <w:r>
        <w:rPr>
          <w:rFonts w:ascii="Arial" w:cs="Arial" w:eastAsia="Arial" w:hAnsi="Arial"/>
          <w:color w:val="202124"/>
          <w:sz w:val="22"/>
          <w:szCs w:val="22"/>
        </w:rPr>
        <w:t xml:space="preserve">Every jAI agent is built on a comprehensive DNA framework consisting of 13 core characteristics that work together to create the most capable enterprise AI agents available.</w:t>
      </w:r>
    </w:p>
    <w:p>
      <w:pPr>
        <w:spacing w:before="200"/>
      </w:pPr>
    </w:p>
    <w:p>
      <w:pPr>
        <w:pStyle w:val="Heading3"/>
        <w:spacing w:before="200" w:after="100"/>
      </w:pPr>
      <w:r>
        <w:rPr>
          <w:rFonts w:ascii="Arial" w:cs="Arial" w:eastAsia="Arial" w:hAnsi="Arial"/>
          <w:b/>
          <w:bCs/>
          <w:color w:val="202124"/>
          <w:sz w:val="24"/>
          <w:szCs w:val="24"/>
        </w:rPr>
        <w:t xml:space="preserve">Agent DNA Blueprint</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jAI AGENT DNA BLUEPRINT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AGENT CORE    │                          │</w:t>
      </w:r>
    </w:p>
    <w:p>
      <w:pPr>
        <w:spacing w:before="0" w:after="0"/>
      </w:pPr>
      <w:r>
        <w:rPr>
          <w:rFonts w:ascii="Courier New" w:cs="Courier New" w:eastAsia="Courier New" w:hAnsi="Courier New"/>
          <w:color w:val="202124"/>
          <w:sz w:val="15"/>
          <w:szCs w:val="15"/>
        </w:rPr>
        <w:t xml:space="preserve">│                            │    IDENTITY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COGNITIVE    │          │  KNOWLEDGE    │          │  EXECUTION    ││</w:t>
      </w:r>
    </w:p>
    <w:p>
      <w:pPr>
        <w:spacing w:before="0" w:after="0"/>
      </w:pPr>
      <w:r>
        <w:rPr>
          <w:rFonts w:ascii="Courier New" w:cs="Courier New" w:eastAsia="Courier New" w:hAnsi="Courier New"/>
          <w:color w:val="202124"/>
          <w:sz w:val="15"/>
          <w:szCs w:val="15"/>
        </w:rPr>
        <w:t xml:space="preserve">│ │  LAYER        │          │  LAYER        │          │  LAYER        ││</w:t>
      </w:r>
    </w:p>
    <w:p>
      <w:pPr>
        <w:spacing w:before="0" w:after="0"/>
      </w:pPr>
      <w:r>
        <w:rPr>
          <w:rFonts w:ascii="Courier New" w:cs="Courier New" w:eastAsia="Courier New" w:hAnsi="Courier New"/>
          <w:color w:val="202124"/>
          <w:sz w:val="15"/>
          <w:szCs w:val="15"/>
        </w:rPr>
        <w:t xml:space="preserve">│ │ • Reasoning   │          │ • RAG Engine  │          │ • Tool Use    ││</w:t>
      </w:r>
    </w:p>
    <w:p>
      <w:pPr>
        <w:spacing w:before="0" w:after="0"/>
      </w:pPr>
      <w:r>
        <w:rPr>
          <w:rFonts w:ascii="Courier New" w:cs="Courier New" w:eastAsia="Courier New" w:hAnsi="Courier New"/>
          <w:color w:val="202124"/>
          <w:sz w:val="15"/>
          <w:szCs w:val="15"/>
        </w:rPr>
        <w:t xml:space="preserve">│ │ • Planning    │          │ • Graph Query │          │ • Actions     ││</w:t>
      </w:r>
    </w:p>
    <w:p>
      <w:pPr>
        <w:spacing w:before="0" w:after="0"/>
      </w:pPr>
      <w:r>
        <w:rPr>
          <w:rFonts w:ascii="Courier New" w:cs="Courier New" w:eastAsia="Courier New" w:hAnsi="Courier New"/>
          <w:color w:val="202124"/>
          <w:sz w:val="15"/>
          <w:szCs w:val="15"/>
        </w:rPr>
        <w:t xml:space="preserve">│ │ • Reflection  │          │ • Memory      │          │ • Workflows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SAFETY       │          │  LEARNING     │          │  SOCIAL       ││</w:t>
      </w:r>
    </w:p>
    <w:p>
      <w:pPr>
        <w:spacing w:before="0" w:after="0"/>
      </w:pPr>
      <w:r>
        <w:rPr>
          <w:rFonts w:ascii="Courier New" w:cs="Courier New" w:eastAsia="Courier New" w:hAnsi="Courier New"/>
          <w:color w:val="202124"/>
          <w:sz w:val="15"/>
          <w:szCs w:val="15"/>
        </w:rPr>
        <w:t xml:space="preserve">│ │  LAYER        │          │  LAYER        │          │  LAYER        ││</w:t>
      </w:r>
    </w:p>
    <w:p>
      <w:pPr>
        <w:spacing w:before="0" w:after="0"/>
      </w:pPr>
      <w:r>
        <w:rPr>
          <w:rFonts w:ascii="Courier New" w:cs="Courier New" w:eastAsia="Courier New" w:hAnsi="Courier New"/>
          <w:color w:val="202124"/>
          <w:sz w:val="15"/>
          <w:szCs w:val="15"/>
        </w:rPr>
        <w:t xml:space="preserve">│ │ • Guardrails  │          │ • Feedback    │          │ • A2A Comms   ││</w:t>
      </w:r>
    </w:p>
    <w:p>
      <w:pPr>
        <w:spacing w:before="0" w:after="0"/>
      </w:pPr>
      <w:r>
        <w:rPr>
          <w:rFonts w:ascii="Courier New" w:cs="Courier New" w:eastAsia="Courier New" w:hAnsi="Courier New"/>
          <w:color w:val="202124"/>
          <w:sz w:val="15"/>
          <w:szCs w:val="15"/>
        </w:rPr>
        <w:t xml:space="preserve">│ │ • Compliance  │          │ • Adaptation  │          │ • Delegation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OBSERVABILITY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w:t>
      </w:r>
    </w:p>
    <w:p>
      <w:pPr>
        <w:spacing w:before="300"/>
      </w:pPr>
    </w:p>
    <w:p>
      <w:pPr>
        <w:pStyle w:val="Heading3"/>
        <w:spacing w:before="200" w:after="100"/>
      </w:pPr>
      <w:r>
        <w:rPr>
          <w:rFonts w:ascii="Arial" w:cs="Arial" w:eastAsia="Arial" w:hAnsi="Arial"/>
          <w:b/>
          <w:bCs/>
          <w:color w:val="202124"/>
          <w:sz w:val="24"/>
          <w:szCs w:val="24"/>
        </w:rPr>
        <w:t xml:space="preserve">Characteristics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w:t>
            </w:r>
          </w:p>
        </w:tc>
        <w:tc>
          <w:tcPr>
            <w:tcW w:type="dxa" w:w="26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Characteristic</w:t>
            </w:r>
          </w:p>
        </w:tc>
        <w:tc>
          <w:tcPr>
            <w:tcW w:type="dxa" w:w="61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1</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Agent Identity</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Unique, cryptographically signed identity with capabilities manifest</w:t>
            </w:r>
          </w:p>
        </w:tc>
      </w:tr>
      <w:tr>
        <w:tc>
          <w:tcPr>
            <w:tcW w:type="dxa" w:w="6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Cognitive Engine</w:t>
            </w:r>
          </w:p>
        </w:tc>
        <w:tc>
          <w:tcPr>
            <w:tcW w:type="dxa" w:w="6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Multi-stage reasoning, planning, and reflection capabilities</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3</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Knowledge Integration</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Deep integration with Vector DB, Knowledge Graph, and structured data</w:t>
            </w:r>
          </w:p>
        </w:tc>
      </w:tr>
      <w:tr>
        <w:tc>
          <w:tcPr>
            <w:tcW w:type="dxa" w:w="6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Tool &amp; Action System</w:t>
            </w:r>
          </w:p>
        </w:tc>
        <w:tc>
          <w:tcPr>
            <w:tcW w:type="dxa" w:w="6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Universal tool usage through MCP Gateway with permission controls</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5</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Multi-Agent Collaboration</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A2A Protocol for discovery, delegation, and consensus</w:t>
            </w:r>
          </w:p>
        </w:tc>
      </w:tr>
      <w:tr>
        <w:tc>
          <w:tcPr>
            <w:tcW w:type="dxa" w:w="6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Memory &amp; Context</w:t>
            </w:r>
          </w:p>
        </w:tc>
        <w:tc>
          <w:tcPr>
            <w:tcW w:type="dxa" w:w="6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Three-tier memory: working, episodic, and semantic</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7</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Safety &amp; Guardrails</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Multi-layer protection: input, reasoning, action, output guardrails</w:t>
            </w:r>
          </w:p>
        </w:tc>
      </w:tr>
      <w:tr>
        <w:tc>
          <w:tcPr>
            <w:tcW w:type="dxa" w:w="6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Continuous Learning</w:t>
            </w:r>
          </w:p>
        </w:tc>
        <w:tc>
          <w:tcPr>
            <w:tcW w:type="dxa" w:w="6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Self-improving through feedback, outcomes, and active learning</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9</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Explainability</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Full reasoning traces, confidence scores, and citations</w:t>
            </w:r>
          </w:p>
        </w:tc>
      </w:tr>
      <w:tr>
        <w:tc>
          <w:tcPr>
            <w:tcW w:type="dxa" w:w="6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Multi-Modal</w:t>
            </w:r>
          </w:p>
        </w:tc>
        <w:tc>
          <w:tcPr>
            <w:tcW w:type="dxa" w:w="6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Process text, images, documents, audio, and video</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11</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Proactive Intelligence</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Anticipate needs, suggest actions, alert on anomalies</w:t>
            </w:r>
          </w:p>
        </w:tc>
      </w:tr>
      <w:tr>
        <w:tc>
          <w:tcPr>
            <w:tcW w:type="dxa" w:w="6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Regulatory Compliance</w:t>
            </w:r>
          </w:p>
        </w:tc>
        <w:tc>
          <w:tcPr>
            <w:tcW w:type="dxa" w:w="6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Built-in compliance engine with jurisdiction awareness</w:t>
            </w:r>
          </w:p>
        </w:tc>
      </w:tr>
      <w:tr>
        <w:tc>
          <w:tcPr>
            <w:tcW w:type="dxa" w:w="600"/>
            <w:tcBorders>
              <w:top w:val="single" w:color="CCCCCC" w:sz="1"/>
              <w:left w:val="single" w:color="CCCCCC" w:sz="1"/>
              <w:bottom w:val="single" w:color="CCCCCC" w:sz="1"/>
              <w:right w:val="single" w:color="CCCCCC" w:sz="1"/>
            </w:tcBorders>
            <w:shd w:fill="e8f0fe" w:val="clear"/>
            <w:vAlign w:val="center"/>
          </w:tcPr>
          <w:p>
            <w:pPr>
              <w:jc w:val="center"/>
            </w:pPr>
            <w:r>
              <w:rPr>
                <w:rFonts w:ascii="Arial" w:cs="Arial" w:eastAsia="Arial" w:hAnsi="Arial"/>
                <w:b w:val="false"/>
                <w:bCs w:val="false"/>
                <w:color w:val="202124"/>
                <w:sz w:val="20"/>
                <w:szCs w:val="20"/>
              </w:rPr>
              <w:t xml:space="preserve">13</w:t>
            </w:r>
          </w:p>
        </w:tc>
        <w:tc>
          <w:tcPr>
            <w:tcW w:type="dxa" w:w="260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bCs/>
                <w:color w:val="202124"/>
                <w:sz w:val="20"/>
                <w:szCs w:val="20"/>
              </w:rPr>
              <w:t xml:space="preserve">Observability</w:t>
            </w:r>
          </w:p>
        </w:tc>
        <w:tc>
          <w:tcPr>
            <w:tcW w:type="dxa" w:w="6160"/>
            <w:tcBorders>
              <w:top w:val="single" w:color="CCCCCC" w:sz="1"/>
              <w:left w:val="single" w:color="CCCCCC" w:sz="1"/>
              <w:bottom w:val="single" w:color="CCCCCC" w:sz="1"/>
              <w:right w:val="single" w:color="CCCCCC" w:sz="1"/>
            </w:tcBorders>
            <w:shd w:fill="e8f0fe" w:val="clear"/>
            <w:vAlign w:val="center"/>
          </w:tcPr>
          <w:p>
            <w:pPr>
              <w:jc w:val="left"/>
            </w:pPr>
            <w:r>
              <w:rPr>
                <w:rFonts w:ascii="Arial" w:cs="Arial" w:eastAsia="Arial" w:hAnsi="Arial"/>
                <w:b w:val="false"/>
                <w:bCs w:val="false"/>
                <w:color w:val="202124"/>
                <w:sz w:val="20"/>
                <w:szCs w:val="20"/>
              </w:rPr>
              <w:t xml:space="preserve">Real-time metrics, distributed tracing, cost tracking</w:t>
            </w:r>
          </w:p>
        </w:tc>
      </w:tr>
    </w:tbl>
    <w:p>
      <w:r>
        <w:br w:type="page"/>
      </w:r>
    </w:p>
    <w:p>
      <w:pPr>
        <w:pStyle w:val="Heading2"/>
        <w:spacing w:before="300" w:after="150"/>
      </w:pPr>
      <w:r>
        <w:rPr>
          <w:rFonts w:ascii="Arial" w:cs="Arial" w:eastAsia="Arial" w:hAnsi="Arial"/>
          <w:b/>
          <w:bCs/>
          <w:color w:val="1a73e8"/>
          <w:sz w:val="28"/>
          <w:szCs w:val="28"/>
        </w:rPr>
        <w:t xml:space="preserve">2.1 Agent Identity System</w:t>
      </w:r>
    </w:p>
    <w:p>
      <w:pPr>
        <w:shd w:fill="e8f0fe" w:val="clear"/>
        <w:spacing w:before="100" w:after="100"/>
      </w:pPr>
      <w:r>
        <w:rPr>
          <w:rFonts w:ascii="Arial" w:cs="Arial" w:eastAsia="Arial" w:hAnsi="Arial"/>
          <w:i/>
          <w:iCs/>
          <w:sz w:val="22"/>
          <w:szCs w:val="22"/>
        </w:rPr>
        <w:t xml:space="preserve">Characteristic #1: Every jAI agent has a unique, cryptographically signed identity that enables trust, accountability, and secure inter-agent communication.</w:t>
      </w:r>
    </w:p>
    <w:p>
      <w:pPr>
        <w:spacing w:before="200"/>
      </w:pPr>
    </w:p>
    <w:p>
      <w:pPr>
        <w:pStyle w:val="Heading3"/>
        <w:spacing w:before="200" w:after="100"/>
      </w:pPr>
      <w:r>
        <w:rPr>
          <w:rFonts w:ascii="Arial" w:cs="Arial" w:eastAsia="Arial" w:hAnsi="Arial"/>
          <w:b/>
          <w:bCs/>
          <w:color w:val="202124"/>
          <w:sz w:val="24"/>
          <w:szCs w:val="24"/>
        </w:rPr>
        <w:t xml:space="preserve">Agent Identity Card Structure</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AGENT IDENTITY CARD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Agent ID:        jai-claims-agent-v2.1.0-prod-a1b2c3d4             │</w:t>
      </w:r>
    </w:p>
    <w:p>
      <w:pPr>
        <w:spacing w:before="0" w:after="0"/>
      </w:pPr>
      <w:r>
        <w:rPr>
          <w:rFonts w:ascii="Courier New" w:cs="Courier New" w:eastAsia="Courier New" w:hAnsi="Courier New"/>
          <w:color w:val="202124"/>
          <w:sz w:val="15"/>
          <w:szCs w:val="15"/>
        </w:rPr>
        <w:t xml:space="preserve">│  Agent Type:      Domain Specialist                                  │</w:t>
      </w:r>
    </w:p>
    <w:p>
      <w:pPr>
        <w:spacing w:before="0" w:after="0"/>
      </w:pPr>
      <w:r>
        <w:rPr>
          <w:rFonts w:ascii="Courier New" w:cs="Courier New" w:eastAsia="Courier New" w:hAnsi="Courier New"/>
          <w:color w:val="202124"/>
          <w:sz w:val="15"/>
          <w:szCs w:val="15"/>
        </w:rPr>
        <w:t xml:space="preserve">│  Domain:          Insurance Claims Processing                        │</w:t>
      </w:r>
    </w:p>
    <w:p>
      <w:pPr>
        <w:spacing w:before="0" w:after="0"/>
      </w:pPr>
      <w:r>
        <w:rPr>
          <w:rFonts w:ascii="Courier New" w:cs="Courier New" w:eastAsia="Courier New" w:hAnsi="Courier New"/>
          <w:color w:val="202124"/>
          <w:sz w:val="15"/>
          <w:szCs w:val="15"/>
        </w:rPr>
        <w:t xml:space="preserve">│  Version:         2.1.0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CAPABILITIES MANIFEST                                         │ │</w:t>
      </w:r>
    </w:p>
    <w:p>
      <w:pPr>
        <w:spacing w:before="0" w:after="0"/>
      </w:pPr>
      <w:r>
        <w:rPr>
          <w:rFonts w:ascii="Courier New" w:cs="Courier New" w:eastAsia="Courier New" w:hAnsi="Courier New"/>
          <w:color w:val="202124"/>
          <w:sz w:val="15"/>
          <w:szCs w:val="15"/>
        </w:rPr>
        <w:t xml:space="preserve">│  │  Primary Skills:                                                │ │</w:t>
      </w:r>
    </w:p>
    <w:p>
      <w:pPr>
        <w:spacing w:before="0" w:after="0"/>
      </w:pPr>
      <w:r>
        <w:rPr>
          <w:rFonts w:ascii="Courier New" w:cs="Courier New" w:eastAsia="Courier New" w:hAnsi="Courier New"/>
          <w:color w:val="202124"/>
          <w:sz w:val="15"/>
          <w:szCs w:val="15"/>
        </w:rPr>
        <w:t xml:space="preserve">│  │  • claim_validation (confidence: 0.95)                          │ │</w:t>
      </w:r>
    </w:p>
    <w:p>
      <w:pPr>
        <w:spacing w:before="0" w:after="0"/>
      </w:pPr>
      <w:r>
        <w:rPr>
          <w:rFonts w:ascii="Courier New" w:cs="Courier New" w:eastAsia="Courier New" w:hAnsi="Courier New"/>
          <w:color w:val="202124"/>
          <w:sz w:val="15"/>
          <w:szCs w:val="15"/>
        </w:rPr>
        <w:t xml:space="preserve">│  │  • settlement_calculation (confidence: 0.92)                    │ │</w:t>
      </w:r>
    </w:p>
    <w:p>
      <w:pPr>
        <w:spacing w:before="0" w:after="0"/>
      </w:pPr>
      <w:r>
        <w:rPr>
          <w:rFonts w:ascii="Courier New" w:cs="Courier New" w:eastAsia="Courier New" w:hAnsi="Courier New"/>
          <w:color w:val="202124"/>
          <w:sz w:val="15"/>
          <w:szCs w:val="15"/>
        </w:rPr>
        <w:t xml:space="preserve">│  │  • document_analysis (confidence: 0.89)                         │ │</w:t>
      </w:r>
    </w:p>
    <w:p>
      <w:pPr>
        <w:spacing w:before="0" w:after="0"/>
      </w:pPr>
      <w:r>
        <w:rPr>
          <w:rFonts w:ascii="Courier New" w:cs="Courier New" w:eastAsia="Courier New" w:hAnsi="Courier New"/>
          <w:color w:val="202124"/>
          <w:sz w:val="15"/>
          <w:szCs w:val="15"/>
        </w:rPr>
        <w:t xml:space="preserve">│  │  Supported Actions: READ, WRITE, EXECUTE                        │ │</w:t>
      </w:r>
    </w:p>
    <w:p>
      <w:pPr>
        <w:spacing w:before="0" w:after="0"/>
      </w:pPr>
      <w:r>
        <w:rPr>
          <w:rFonts w:ascii="Courier New" w:cs="Courier New" w:eastAsia="Courier New" w:hAnsi="Courier New"/>
          <w:color w:val="202124"/>
          <w:sz w:val="15"/>
          <w:szCs w:val="15"/>
        </w:rPr>
        <w:t xml:space="preserve">│  │  Trust Level: LEVEL_4 (financial up to $100K)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Digital Signature: sha256:9f86d081884c7d659a2feaa0c55ad015...      │</w:t>
      </w:r>
    </w:p>
    <w:p>
      <w:pPr>
        <w:spacing w:before="0" w:after="0"/>
      </w:pPr>
      <w:r>
        <w:rPr>
          <w:rFonts w:ascii="Courier New" w:cs="Courier New" w:eastAsia="Courier New" w:hAnsi="Courier New"/>
          <w:color w:val="202124"/>
          <w:sz w:val="15"/>
          <w:szCs w:val="15"/>
        </w:rPr>
        <w:t xml:space="preserve">└──────────────────────────────────────────────────────────────────────┘</w:t>
      </w:r>
    </w:p>
    <w:p>
      <w:pPr>
        <w:spacing w:before="200"/>
      </w:pPr>
    </w:p>
    <w:p>
      <w:pPr>
        <w:pStyle w:val="Heading3"/>
        <w:spacing w:before="200" w:after="100"/>
      </w:pPr>
      <w:r>
        <w:rPr>
          <w:rFonts w:ascii="Arial" w:cs="Arial" w:eastAsia="Arial" w:hAnsi="Arial"/>
          <w:b/>
          <w:bCs/>
          <w:color w:val="202124"/>
          <w:sz w:val="24"/>
          <w:szCs w:val="24"/>
        </w:rPr>
        <w:t xml:space="preserve">Trust Level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Level</w:t>
            </w:r>
          </w:p>
        </w:tc>
        <w:tc>
          <w:tcPr>
            <w:tcW w:type="dxa" w:w="25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Name</w:t>
            </w:r>
          </w:p>
        </w:tc>
        <w:tc>
          <w:tcPr>
            <w:tcW w:type="dxa" w:w="53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Permissions</w:t>
            </w:r>
          </w:p>
        </w:tc>
      </w:tr>
      <w:tr>
        <w:tc>
          <w:tcPr>
            <w:tcW w:type="dxa" w:w="15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LEVEL_1</w:t>
            </w:r>
          </w:p>
        </w:tc>
        <w:tc>
          <w:tcPr>
            <w:tcW w:type="dxa" w:w="25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Read-Only</w:t>
            </w:r>
          </w:p>
        </w:tc>
        <w:tc>
          <w:tcPr>
            <w:tcW w:type="dxa" w:w="5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Query data, retrieve information, no modifications</w:t>
            </w:r>
          </w:p>
        </w:tc>
      </w:tr>
      <w:tr>
        <w:tc>
          <w:tcPr>
            <w:tcW w:type="dxa" w:w="1500"/>
            <w:tcBorders>
              <w:top w:val="single" w:color="CCCCCC" w:sz="1"/>
              <w:left w:val="single" w:color="CCCCCC" w:sz="1"/>
              <w:bottom w:val="single" w:color="CCCCCC" w:sz="1"/>
              <w:right w:val="single" w:color="CCCCCC" w:sz="1"/>
            </w:tcBorders>
            <w:shd w:fill="f8f9fa" w:val="clear"/>
            <w:vAlign w:val="center"/>
          </w:tcPr>
          <w:p>
            <w:pPr>
              <w:jc w:val="center"/>
            </w:pPr>
            <w:r>
              <w:rPr>
                <w:rFonts w:ascii="Arial" w:cs="Arial" w:eastAsia="Arial" w:hAnsi="Arial"/>
                <w:b w:val="false"/>
                <w:bCs w:val="false"/>
                <w:color w:val="202124"/>
                <w:sz w:val="20"/>
                <w:szCs w:val="20"/>
              </w:rPr>
              <w:t xml:space="preserve">LEVEL_2</w:t>
            </w:r>
          </w:p>
        </w:tc>
        <w:tc>
          <w:tcPr>
            <w:tcW w:type="dxa" w:w="25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Annotate</w:t>
            </w:r>
          </w:p>
        </w:tc>
        <w:tc>
          <w:tcPr>
            <w:tcW w:type="dxa" w:w="53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Add notes, comments, recommendations (non-binding)</w:t>
            </w:r>
          </w:p>
        </w:tc>
      </w:tr>
      <w:tr>
        <w:tc>
          <w:tcPr>
            <w:tcW w:type="dxa" w:w="15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LEVEL_3</w:t>
            </w:r>
          </w:p>
        </w:tc>
        <w:tc>
          <w:tcPr>
            <w:tcW w:type="dxa" w:w="25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Modify</w:t>
            </w:r>
          </w:p>
        </w:tc>
        <w:tc>
          <w:tcPr>
            <w:tcW w:type="dxa" w:w="5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Update statuses, create records, modify non-financial data</w:t>
            </w:r>
          </w:p>
        </w:tc>
      </w:tr>
      <w:tr>
        <w:tc>
          <w:tcPr>
            <w:tcW w:type="dxa" w:w="1500"/>
            <w:tcBorders>
              <w:top w:val="single" w:color="CCCCCC" w:sz="1"/>
              <w:left w:val="single" w:color="CCCCCC" w:sz="1"/>
              <w:bottom w:val="single" w:color="CCCCCC" w:sz="1"/>
              <w:right w:val="single" w:color="CCCCCC" w:sz="1"/>
            </w:tcBorders>
            <w:shd w:fill="f8f9fa" w:val="clear"/>
            <w:vAlign w:val="center"/>
          </w:tcPr>
          <w:p>
            <w:pPr>
              <w:jc w:val="center"/>
            </w:pPr>
            <w:r>
              <w:rPr>
                <w:rFonts w:ascii="Arial" w:cs="Arial" w:eastAsia="Arial" w:hAnsi="Arial"/>
                <w:b w:val="false"/>
                <w:bCs w:val="false"/>
                <w:color w:val="202124"/>
                <w:sz w:val="20"/>
                <w:szCs w:val="20"/>
              </w:rPr>
              <w:t xml:space="preserve">LEVEL_4</w:t>
            </w:r>
          </w:p>
        </w:tc>
        <w:tc>
          <w:tcPr>
            <w:tcW w:type="dxa" w:w="25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Execute</w:t>
            </w:r>
          </w:p>
        </w:tc>
        <w:tc>
          <w:tcPr>
            <w:tcW w:type="dxa" w:w="53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Process transactions up to $100K, approve/deny decisions</w:t>
            </w:r>
          </w:p>
        </w:tc>
      </w:tr>
      <w:tr>
        <w:tc>
          <w:tcPr>
            <w:tcW w:type="dxa" w:w="15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LEVEL_5</w:t>
            </w:r>
          </w:p>
        </w:tc>
        <w:tc>
          <w:tcPr>
            <w:tcW w:type="dxa" w:w="25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Administrative</w:t>
            </w:r>
          </w:p>
        </w:tc>
        <w:tc>
          <w:tcPr>
            <w:tcW w:type="dxa" w:w="5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Full system access, policy changes, unlimited transactions</w:t>
            </w:r>
          </w:p>
        </w:tc>
      </w:tr>
    </w:tbl>
    <w:p>
      <w:r>
        <w:br w:type="page"/>
      </w:r>
    </w:p>
    <w:p>
      <w:pPr>
        <w:pStyle w:val="Heading2"/>
        <w:spacing w:before="300" w:after="150"/>
      </w:pPr>
      <w:r>
        <w:rPr>
          <w:rFonts w:ascii="Arial" w:cs="Arial" w:eastAsia="Arial" w:hAnsi="Arial"/>
          <w:b/>
          <w:bCs/>
          <w:color w:val="1a73e8"/>
          <w:sz w:val="28"/>
          <w:szCs w:val="28"/>
        </w:rPr>
        <w:t xml:space="preserve">2.2 Cognitive Engine</w:t>
      </w:r>
    </w:p>
    <w:p>
      <w:pPr>
        <w:shd w:fill="e8f0fe" w:val="clear"/>
        <w:spacing w:before="100" w:after="100"/>
      </w:pPr>
      <w:r>
        <w:rPr>
          <w:rFonts w:ascii="Arial" w:cs="Arial" w:eastAsia="Arial" w:hAnsi="Arial"/>
          <w:i/>
          <w:iCs/>
          <w:sz w:val="22"/>
          <w:szCs w:val="22"/>
        </w:rPr>
        <w:t xml:space="preserve">Characteristic #2: jAI agents use a multi-stage cognitive architecture inspired by human reasoning, far beyond simple prompt-response patterns.</w:t>
      </w:r>
    </w:p>
    <w:p>
      <w:pPr>
        <w:spacing w:before="200"/>
      </w:pPr>
    </w:p>
    <w:p>
      <w:pPr>
        <w:pStyle w:val="Heading3"/>
        <w:spacing w:before="200" w:after="100"/>
      </w:pPr>
      <w:r>
        <w:rPr>
          <w:rFonts w:ascii="Arial" w:cs="Arial" w:eastAsia="Arial" w:hAnsi="Arial"/>
          <w:b/>
          <w:bCs/>
          <w:color w:val="202124"/>
          <w:sz w:val="24"/>
          <w:szCs w:val="24"/>
        </w:rPr>
        <w:t xml:space="preserve">Cognitive Processing Pipeline</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COGNITIVE PROCESSING PIPELINE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Input → STAGE 1: PERCEPTION &amp; UNDERSTANDING                            │</w:t>
      </w:r>
    </w:p>
    <w:p>
      <w:pPr>
        <w:spacing w:before="0" w:after="0"/>
      </w:pPr>
      <w:r>
        <w:rPr>
          <w:rFonts w:ascii="Courier New" w:cs="Courier New" w:eastAsia="Courier New" w:hAnsi="Courier New"/>
          <w:color w:val="202124"/>
          <w:sz w:val="15"/>
          <w:szCs w:val="15"/>
        </w:rPr>
        <w:t xml:space="preserve">│          • Intent Classification    • Entity Extraction                 │</w:t>
      </w:r>
    </w:p>
    <w:p>
      <w:pPr>
        <w:spacing w:before="0" w:after="0"/>
      </w:pPr>
      <w:r>
        <w:rPr>
          <w:rFonts w:ascii="Courier New" w:cs="Courier New" w:eastAsia="Courier New" w:hAnsi="Courier New"/>
          <w:color w:val="202124"/>
          <w:sz w:val="15"/>
          <w:szCs w:val="15"/>
        </w:rPr>
        <w:t xml:space="preserve">│          • Context Integration      • Ambiguity Detection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STAGE 2: REASONING &amp; ANALYSIS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Deductive  │  │  Inductive  │  │  Abductive  │             │</w:t>
      </w:r>
    </w:p>
    <w:p>
      <w:pPr>
        <w:spacing w:before="0" w:after="0"/>
      </w:pPr>
      <w:r>
        <w:rPr>
          <w:rFonts w:ascii="Courier New" w:cs="Courier New" w:eastAsia="Courier New" w:hAnsi="Courier New"/>
          <w:color w:val="202124"/>
          <w:sz w:val="15"/>
          <w:szCs w:val="15"/>
        </w:rPr>
        <w:t xml:space="preserve">│          │  (Rules)    │  │  (Patterns) │  │  (Best Expl)│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Chain-of-Thought (CoT) Processing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STAGE 3: PLANNING &amp; DECOMPOSITION                              │</w:t>
      </w:r>
    </w:p>
    <w:p>
      <w:pPr>
        <w:spacing w:before="0" w:after="0"/>
      </w:pPr>
      <w:r>
        <w:rPr>
          <w:rFonts w:ascii="Courier New" w:cs="Courier New" w:eastAsia="Courier New" w:hAnsi="Courier New"/>
          <w:color w:val="202124"/>
          <w:sz w:val="15"/>
          <w:szCs w:val="15"/>
        </w:rPr>
        <w:t xml:space="preserve">│          Goal → Sub-goals → Tasks                                       │</w:t>
      </w:r>
    </w:p>
    <w:p>
      <w:pPr>
        <w:spacing w:before="0" w:after="0"/>
      </w:pPr>
      <w:r>
        <w:rPr>
          <w:rFonts w:ascii="Courier New" w:cs="Courier New" w:eastAsia="Courier New" w:hAnsi="Courier New"/>
          <w:color w:val="202124"/>
          <w:sz w:val="15"/>
          <w:szCs w:val="15"/>
        </w:rPr>
        <w:t xml:space="preserve">│          Algorithms: HTN, GOAP, Monte Carlo Tree Search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STAGE 4: EXECUTION MONITORING                                  │</w:t>
      </w:r>
    </w:p>
    <w:p>
      <w:pPr>
        <w:spacing w:before="0" w:after="0"/>
      </w:pPr>
      <w:r>
        <w:rPr>
          <w:rFonts w:ascii="Courier New" w:cs="Courier New" w:eastAsia="Courier New" w:hAnsi="Courier New"/>
          <w:color w:val="202124"/>
          <w:sz w:val="15"/>
          <w:szCs w:val="15"/>
        </w:rPr>
        <w:t xml:space="preserve">│          Progress tracking | Dynamic re-planning | Fallbacks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STAGE 5: REFLECTION &amp; SELF-CRITIQUE                            │</w:t>
      </w:r>
    </w:p>
    <w:p>
      <w:pPr>
        <w:spacing w:before="0" w:after="0"/>
      </w:pPr>
      <w:r>
        <w:rPr>
          <w:rFonts w:ascii="Courier New" w:cs="Courier New" w:eastAsia="Courier New" w:hAnsi="Courier New"/>
          <w:color w:val="202124"/>
          <w:sz w:val="15"/>
          <w:szCs w:val="15"/>
        </w:rPr>
        <w:t xml:space="preserve">│          Confidence: High (&gt;0.9) → Proceed | Low (&lt;0.7) → Escalate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Output                                                                 │</w:t>
      </w:r>
    </w:p>
    <w:p>
      <w:pPr>
        <w:spacing w:before="0" w:after="0"/>
      </w:pPr>
      <w:r>
        <w:rPr>
          <w:rFonts w:ascii="Courier New" w:cs="Courier New" w:eastAsia="Courier New" w:hAnsi="Courier New"/>
          <w:color w:val="202124"/>
          <w:sz w:val="15"/>
          <w:szCs w:val="15"/>
        </w:rPr>
        <w:t xml:space="preserve">└─────────────────────────────────────────────────────────────────────────┘</w:t>
      </w:r>
    </w:p>
    <w:p>
      <w:r>
        <w:br w:type="page"/>
      </w:r>
    </w:p>
    <w:p>
      <w:pPr>
        <w:pStyle w:val="Heading2"/>
        <w:spacing w:before="300" w:after="150"/>
      </w:pPr>
      <w:r>
        <w:rPr>
          <w:rFonts w:ascii="Arial" w:cs="Arial" w:eastAsia="Arial" w:hAnsi="Arial"/>
          <w:b/>
          <w:bCs/>
          <w:color w:val="1a73e8"/>
          <w:sz w:val="28"/>
          <w:szCs w:val="28"/>
        </w:rPr>
        <w:t xml:space="preserve">2.3 Deep Knowledge Integration</w:t>
      </w:r>
    </w:p>
    <w:p>
      <w:pPr>
        <w:shd w:fill="e8f0fe" w:val="clear"/>
        <w:spacing w:before="100" w:after="100"/>
      </w:pPr>
      <w:r>
        <w:rPr>
          <w:rFonts w:ascii="Arial" w:cs="Arial" w:eastAsia="Arial" w:hAnsi="Arial"/>
          <w:i/>
          <w:iCs/>
          <w:sz w:val="22"/>
          <w:szCs w:val="22"/>
        </w:rPr>
        <w:t xml:space="preserve">Characteristic #3: Every jAI agent has native, deep integration with the Knowledge Layer - not just simple RAG, but true knowledge-aware reasoning.</w:t>
      </w:r>
    </w:p>
    <w:p>
      <w:pPr>
        <w:spacing w:before="200"/>
      </w:pPr>
    </w:p>
    <w:p>
      <w:pPr>
        <w:pStyle w:val="Heading3"/>
        <w:spacing w:before="200" w:after="100"/>
      </w:pPr>
      <w:r>
        <w:rPr>
          <w:rFonts w:ascii="Arial" w:cs="Arial" w:eastAsia="Arial" w:hAnsi="Arial"/>
          <w:b/>
          <w:bCs/>
          <w:color w:val="202124"/>
          <w:sz w:val="24"/>
          <w:szCs w:val="24"/>
        </w:rPr>
        <w:t xml:space="preserve">Knowledge Integration Architecture</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KNOWLEDGE INTEGRATION ARCHITECTURE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jAI AGENT     │                               │</w:t>
      </w:r>
    </w:p>
    <w:p>
      <w:pPr>
        <w:spacing w:before="0" w:after="0"/>
      </w:pPr>
      <w:r>
        <w:rPr>
          <w:rFonts w:ascii="Courier New" w:cs="Courier New" w:eastAsia="Courier New" w:hAnsi="Courier New"/>
          <w:color w:val="202124"/>
          <w:sz w:val="15"/>
          <w:szCs w:val="15"/>
        </w:rPr>
        <w:t xml:space="preserve">│                       │   COGNITIVE     │                               │</w:t>
      </w:r>
    </w:p>
    <w:p>
      <w:pPr>
        <w:spacing w:before="0" w:after="0"/>
      </w:pPr>
      <w:r>
        <w:rPr>
          <w:rFonts w:ascii="Courier New" w:cs="Courier New" w:eastAsia="Courier New" w:hAnsi="Courier New"/>
          <w:color w:val="202124"/>
          <w:sz w:val="15"/>
          <w:szCs w:val="15"/>
        </w:rPr>
        <w:t xml:space="preserve">│                       │   ENGINE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VECTOR RETRIEVAL│ │  GRAPH TRAVERSAL│ │ STRUCTURED QUERY│           │</w:t>
      </w:r>
    </w:p>
    <w:p>
      <w:pPr>
        <w:spacing w:before="0" w:after="0"/>
      </w:pPr>
      <w:r>
        <w:rPr>
          <w:rFonts w:ascii="Courier New" w:cs="Courier New" w:eastAsia="Courier New" w:hAnsi="Courier New"/>
          <w:color w:val="202124"/>
          <w:sz w:val="15"/>
          <w:szCs w:val="15"/>
        </w:rPr>
        <w:t xml:space="preserve">│  │ Semantic Search │ │ Cypher/SPARQL   │ │ SQL via NL      │           │</w:t>
      </w:r>
    </w:p>
    <w:p>
      <w:pPr>
        <w:spacing w:before="0" w:after="0"/>
      </w:pPr>
      <w:r>
        <w:rPr>
          <w:rFonts w:ascii="Courier New" w:cs="Courier New" w:eastAsia="Courier New" w:hAnsi="Courier New"/>
          <w:color w:val="202124"/>
          <w:sz w:val="15"/>
          <w:szCs w:val="15"/>
        </w:rPr>
        <w:t xml:space="preserve">│  │ Dense + Sparse  │ │ Entity→Relation │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VECTOR DB     │ │ KNOWLEDGE GRAPH │ │   DATABASES     │           │</w:t>
      </w:r>
    </w:p>
    <w:p>
      <w:pPr>
        <w:spacing w:before="0" w:after="0"/>
      </w:pPr>
      <w:r>
        <w:rPr>
          <w:rFonts w:ascii="Courier New" w:cs="Courier New" w:eastAsia="Courier New" w:hAnsi="Courier New"/>
          <w:color w:val="202124"/>
          <w:sz w:val="15"/>
          <w:szCs w:val="15"/>
        </w:rPr>
        <w:t xml:space="preserve">│  │  Pinecone       │ │  Neo4j          │ │  PostgreSQL     │           │</w:t>
      </w:r>
    </w:p>
    <w:p>
      <w:pPr>
        <w:spacing w:before="0" w:after="0"/>
      </w:pPr>
      <w:r>
        <w:rPr>
          <w:rFonts w:ascii="Courier New" w:cs="Courier New" w:eastAsia="Courier New" w:hAnsi="Courier New"/>
          <w:color w:val="202124"/>
          <w:sz w:val="15"/>
          <w:szCs w:val="15"/>
        </w:rPr>
        <w:t xml:space="preserve">│  │  Weaviate       │ │  Neptune        │ │  MongoDB        │           │</w:t>
      </w:r>
    </w:p>
    <w:p>
      <w:pPr>
        <w:spacing w:before="0" w:after="0"/>
      </w:pPr>
      <w:r>
        <w:rPr>
          <w:rFonts w:ascii="Courier New" w:cs="Courier New" w:eastAsia="Courier New" w:hAnsi="Courier New"/>
          <w:color w:val="202124"/>
          <w:sz w:val="15"/>
          <w:szCs w:val="15"/>
        </w:rPr>
        <w:t xml:space="preserve">│  │  Milvus         │ │  TigerGraph     │ │  Snowflake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w:t>
      </w:r>
    </w:p>
    <w:p>
      <w:pPr>
        <w:spacing w:before="200"/>
      </w:pPr>
    </w:p>
    <w:p>
      <w:pPr>
        <w:pStyle w:val="Heading3"/>
        <w:spacing w:before="200" w:after="100"/>
      </w:pPr>
      <w:r>
        <w:rPr>
          <w:rFonts w:ascii="Arial" w:cs="Arial" w:eastAsia="Arial" w:hAnsi="Arial"/>
          <w:b/>
          <w:bCs/>
          <w:color w:val="202124"/>
          <w:sz w:val="24"/>
          <w:szCs w:val="24"/>
        </w:rPr>
        <w:t xml:space="preserve">Knowledge Query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Query Type</w:t>
            </w:r>
          </w:p>
        </w:tc>
        <w:tc>
          <w:tcPr>
            <w:tcW w:type="dxa" w:w="71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Description &amp; Example</w:t>
            </w:r>
          </w:p>
        </w:tc>
      </w:tr>
      <w:tr>
        <w:tc>
          <w:tcPr>
            <w:tcW w:type="dxa" w:w="22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Semantic Search</w:t>
            </w:r>
          </w:p>
        </w:tc>
        <w:tc>
          <w:tcPr>
            <w:tcW w:type="dxa" w:w="7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Vector similarity search. Ex: "Find policies similar to commercial property with flood exclusion"</w:t>
            </w:r>
          </w:p>
        </w:tc>
      </w:tr>
      <w:tr>
        <w:tc>
          <w:tcPr>
            <w:tcW w:type="dxa" w:w="22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Graph Reasoning</w:t>
            </w:r>
          </w:p>
        </w:tc>
        <w:tc>
          <w:tcPr>
            <w:tcW w:type="dxa" w:w="71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Multi-hop traversal. Ex: "Show all claims by customer and related policyholders at same address"</w:t>
            </w:r>
          </w:p>
        </w:tc>
      </w:tr>
      <w:tr>
        <w:tc>
          <w:tcPr>
            <w:tcW w:type="dxa" w:w="22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Hybrid Query</w:t>
            </w:r>
          </w:p>
        </w:tc>
        <w:tc>
          <w:tcPr>
            <w:tcW w:type="dxa" w:w="7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Combines vector + graph + structured. Ex: "Find fraud patterns similar to claim #12345"</w:t>
            </w:r>
          </w:p>
        </w:tc>
      </w:tr>
      <w:tr>
        <w:tc>
          <w:tcPr>
            <w:tcW w:type="dxa" w:w="22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KGAG</w:t>
            </w:r>
          </w:p>
        </w:tc>
        <w:tc>
          <w:tcPr>
            <w:tcW w:type="dxa" w:w="71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Knowledge Graph Augmented Generation - retrieves clauses + entities + generates explanations with citations</w:t>
            </w:r>
          </w:p>
        </w:tc>
      </w:tr>
    </w:tbl>
    <w:p>
      <w:r>
        <w:br w:type="page"/>
      </w:r>
    </w:p>
    <w:p>
      <w:pPr>
        <w:pStyle w:val="Heading2"/>
        <w:spacing w:before="300" w:after="150"/>
      </w:pPr>
      <w:r>
        <w:rPr>
          <w:rFonts w:ascii="Arial" w:cs="Arial" w:eastAsia="Arial" w:hAnsi="Arial"/>
          <w:b/>
          <w:bCs/>
          <w:color w:val="1a73e8"/>
          <w:sz w:val="28"/>
          <w:szCs w:val="28"/>
        </w:rPr>
        <w:t xml:space="preserve">2.4 Universal Tool &amp; Action System</w:t>
      </w:r>
    </w:p>
    <w:p>
      <w:pPr>
        <w:shd w:fill="e8f0fe" w:val="clear"/>
        <w:spacing w:before="100" w:after="100"/>
      </w:pPr>
      <w:r>
        <w:rPr>
          <w:rFonts w:ascii="Arial" w:cs="Arial" w:eastAsia="Arial" w:hAnsi="Arial"/>
          <w:i/>
          <w:iCs/>
          <w:sz w:val="22"/>
          <w:szCs w:val="22"/>
        </w:rPr>
        <w:t xml:space="preserve">Characteristic #4: jAI agents can use any tool through the MCP Gateway and execute real actions in enterprise systems.</w:t>
      </w:r>
    </w:p>
    <w:p>
      <w:pPr>
        <w:spacing w:before="200"/>
      </w:pPr>
    </w:p>
    <w:p>
      <w:pPr>
        <w:pStyle w:val="Heading3"/>
        <w:spacing w:before="200" w:after="100"/>
      </w:pPr>
      <w:r>
        <w:rPr>
          <w:rFonts w:ascii="Arial" w:cs="Arial" w:eastAsia="Arial" w:hAnsi="Arial"/>
          <w:b/>
          <w:bCs/>
          <w:color w:val="202124"/>
          <w:sz w:val="24"/>
          <w:szCs w:val="24"/>
        </w:rPr>
        <w:t xml:space="preserve">Tool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Category</w:t>
            </w:r>
          </w:p>
        </w:tc>
        <w:tc>
          <w:tcPr>
            <w:tcW w:type="dxa" w:w="36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Tools</w:t>
            </w:r>
          </w:p>
        </w:tc>
        <w:tc>
          <w:tcPr>
            <w:tcW w:type="dxa" w:w="36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Data Access</w:t>
            </w:r>
          </w:p>
        </w:tc>
        <w:tc>
          <w:tcPr>
            <w:tcW w:type="dxa" w:w="3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Read records, Query DBs, Search docs</w:t>
            </w:r>
          </w:p>
        </w:tc>
        <w:tc>
          <w:tcPr>
            <w:tcW w:type="dxa" w:w="3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get_claim, get_policy, search_knowledge</w:t>
            </w:r>
          </w:p>
        </w:tc>
      </w:tr>
      <w:tr>
        <w:tc>
          <w:tcPr>
            <w:tcW w:type="dxa" w:w="20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Actions</w:t>
            </w:r>
          </w:p>
        </w:tc>
        <w:tc>
          <w:tcPr>
            <w:tcW w:type="dxa" w:w="36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Create/Update, Approve/Deny, Transfer</w:t>
            </w:r>
          </w:p>
        </w:tc>
        <w:tc>
          <w:tcPr>
            <w:tcW w:type="dxa" w:w="36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update_status, approve_claim, assign</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Integrations</w:t>
            </w:r>
          </w:p>
        </w:tc>
        <w:tc>
          <w:tcPr>
            <w:tcW w:type="dxa" w:w="3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Email/Slack, Calendar, CRM, ERP</w:t>
            </w:r>
          </w:p>
        </w:tc>
        <w:tc>
          <w:tcPr>
            <w:tcW w:type="dxa" w:w="3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send_notification, create_task</w:t>
            </w:r>
          </w:p>
        </w:tc>
      </w:tr>
      <w:tr>
        <w:tc>
          <w:tcPr>
            <w:tcW w:type="dxa" w:w="20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Computation</w:t>
            </w:r>
          </w:p>
        </w:tc>
        <w:tc>
          <w:tcPr>
            <w:tcW w:type="dxa" w:w="36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Calculate, Transform, Validate</w:t>
            </w:r>
          </w:p>
        </w:tc>
        <w:tc>
          <w:tcPr>
            <w:tcW w:type="dxa" w:w="36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calculate_settlement, validate_coverage</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Analysis</w:t>
            </w:r>
          </w:p>
        </w:tc>
        <w:tc>
          <w:tcPr>
            <w:tcW w:type="dxa" w:w="3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Run models, Generate reports</w:t>
            </w:r>
          </w:p>
        </w:tc>
        <w:tc>
          <w:tcPr>
            <w:tcW w:type="dxa" w:w="36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fraud_analysis, generate_report</w:t>
            </w:r>
          </w:p>
        </w:tc>
      </w:tr>
    </w:tbl>
    <w:p>
      <w:pPr>
        <w:spacing w:before="300"/>
      </w:pPr>
    </w:p>
    <w:p>
      <w:pPr>
        <w:pStyle w:val="Heading2"/>
        <w:spacing w:before="300" w:after="150"/>
      </w:pPr>
      <w:r>
        <w:rPr>
          <w:rFonts w:ascii="Arial" w:cs="Arial" w:eastAsia="Arial" w:hAnsi="Arial"/>
          <w:b/>
          <w:bCs/>
          <w:color w:val="1a73e8"/>
          <w:sz w:val="28"/>
          <w:szCs w:val="28"/>
        </w:rPr>
        <w:t xml:space="preserve">2.5 Multi-Agent Collaboration (A2A Protocol)</w:t>
      </w:r>
    </w:p>
    <w:p>
      <w:pPr>
        <w:shd w:fill="e8f0fe" w:val="clear"/>
        <w:spacing w:before="100" w:after="100"/>
      </w:pPr>
      <w:r>
        <w:rPr>
          <w:rFonts w:ascii="Arial" w:cs="Arial" w:eastAsia="Arial" w:hAnsi="Arial"/>
          <w:i/>
          <w:iCs/>
          <w:sz w:val="22"/>
          <w:szCs w:val="22"/>
        </w:rPr>
        <w:t xml:space="preserve">Characteristic #5: jAI agents discover, communicate, and delegate through the A2A Protocol - enabling swarm intelligence.</w:t>
      </w:r>
    </w:p>
    <w:p>
      <w:pPr>
        <w:spacing w:before="200"/>
      </w:pPr>
    </w:p>
    <w:p>
      <w:pPr>
        <w:pStyle w:val="Heading3"/>
        <w:spacing w:before="200" w:after="100"/>
      </w:pPr>
      <w:r>
        <w:rPr>
          <w:rFonts w:ascii="Arial" w:cs="Arial" w:eastAsia="Arial" w:hAnsi="Arial"/>
          <w:b/>
          <w:bCs/>
          <w:color w:val="202124"/>
          <w:sz w:val="24"/>
          <w:szCs w:val="24"/>
        </w:rPr>
        <w:t xml:space="preserve">Collaboration Patterns</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A2A COLLABORATION PATTERNS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DISCOVERY → DELEGATION → NEGOTIATION → CONSENSUS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Pattern 1: HIERARCHICAL          Pattern 2: PEER-TO-PEER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ORCHESTRATOR │           │ Claims │      │ Fraud  │           │</w:t>
      </w:r>
    </w:p>
    <w:p>
      <w:pPr>
        <w:spacing w:before="0" w:after="0"/>
      </w:pPr>
      <w:r>
        <w:rPr>
          <w:rFonts w:ascii="Courier New" w:cs="Courier New" w:eastAsia="Courier New" w:hAnsi="Courier New"/>
          <w:color w:val="202124"/>
          <w:sz w:val="15"/>
          <w:szCs w:val="15"/>
        </w:rPr>
        <w:t xml:space="preserve">│       └───────┬───────┘           │ Agent  │      │ Agent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│Claims│  │Fraud │  │Comply│           Shared Context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Pattern 3: SWARM (Parallel)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│Agent 1 │    │Agent 2 │    │Agent 3 │    │Agent 4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CONSENSUS AGGREGATOR                                 │</w:t>
      </w:r>
    </w:p>
    <w:p>
      <w:pPr>
        <w:spacing w:before="0" w:after="0"/>
      </w:pPr>
      <w:r>
        <w:rPr>
          <w:rFonts w:ascii="Courier New" w:cs="Courier New" w:eastAsia="Courier New" w:hAnsi="Courier New"/>
          <w:color w:val="202124"/>
          <w:sz w:val="15"/>
          <w:szCs w:val="15"/>
        </w:rPr>
        <w:t xml:space="preserve">└─────────────────────────────────────────────────────────────────────────┘</w:t>
      </w:r>
    </w:p>
    <w:p>
      <w:r>
        <w:br w:type="page"/>
      </w:r>
    </w:p>
    <w:p>
      <w:pPr>
        <w:pStyle w:val="Heading2"/>
        <w:spacing w:before="300" w:after="150"/>
      </w:pPr>
      <w:r>
        <w:rPr>
          <w:rFonts w:ascii="Arial" w:cs="Arial" w:eastAsia="Arial" w:hAnsi="Arial"/>
          <w:b/>
          <w:bCs/>
          <w:color w:val="1a73e8"/>
          <w:sz w:val="28"/>
          <w:szCs w:val="28"/>
        </w:rPr>
        <w:t xml:space="preserve">2.6 Persistent Memory &amp; Context</w:t>
      </w:r>
    </w:p>
    <w:p>
      <w:pPr>
        <w:shd w:fill="e8f0fe" w:val="clear"/>
        <w:spacing w:before="100" w:after="100"/>
      </w:pPr>
      <w:r>
        <w:rPr>
          <w:rFonts w:ascii="Arial" w:cs="Arial" w:eastAsia="Arial" w:hAnsi="Arial"/>
          <w:i/>
          <w:iCs/>
          <w:sz w:val="22"/>
          <w:szCs w:val="22"/>
        </w:rPr>
        <w:t xml:space="preserve">Characteristic #6: jAI agents have three tiers of memory enabling continuous learning from every interaction.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Memory Tier</w:t>
            </w:r>
          </w:p>
        </w:tc>
        <w:tc>
          <w:tcPr>
            <w:tcW w:type="dxa" w:w="30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Retention</w:t>
            </w:r>
          </w:p>
        </w:tc>
        <w:tc>
          <w:tcPr>
            <w:tcW w:type="dxa" w:w="43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Working</w:t>
            </w:r>
          </w:p>
        </w:tc>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Session-based (~128K tokens)</w:t>
            </w:r>
          </w:p>
        </w:tc>
        <w:tc>
          <w:tcPr>
            <w:tcW w:type="dxa" w:w="4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Current conversation, task state, retrieved knowledge</w:t>
            </w:r>
          </w:p>
        </w:tc>
      </w:tr>
      <w:tr>
        <w:tc>
          <w:tcPr>
            <w:tcW w:type="dxa" w:w="20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Episodic</w:t>
            </w:r>
          </w:p>
        </w:tc>
        <w:tc>
          <w:tcPr>
            <w:tcW w:type="dxa" w:w="30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90 days (configurable)</w:t>
            </w:r>
          </w:p>
        </w:tc>
        <w:tc>
          <w:tcPr>
            <w:tcW w:type="dxa" w:w="43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Past interactions, user preferences, decision outcomes</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Semantic</w:t>
            </w:r>
          </w:p>
        </w:tc>
        <w:tc>
          <w:tcPr>
            <w:tcW w:type="dxa" w:w="3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Permanent (versioned)</w:t>
            </w:r>
          </w:p>
        </w:tc>
        <w:tc>
          <w:tcPr>
            <w:tcW w:type="dxa" w:w="4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Policies, procedures, regulations, benchmarks</w:t>
            </w:r>
          </w:p>
        </w:tc>
      </w:tr>
    </w:tbl>
    <w:p>
      <w:pPr>
        <w:spacing w:before="300"/>
      </w:pPr>
    </w:p>
    <w:p>
      <w:pPr>
        <w:pStyle w:val="Heading2"/>
        <w:spacing w:before="300" w:after="150"/>
      </w:pPr>
      <w:r>
        <w:rPr>
          <w:rFonts w:ascii="Arial" w:cs="Arial" w:eastAsia="Arial" w:hAnsi="Arial"/>
          <w:b/>
          <w:bCs/>
          <w:color w:val="1a73e8"/>
          <w:sz w:val="28"/>
          <w:szCs w:val="28"/>
        </w:rPr>
        <w:t xml:space="preserve">2.7 Comprehensive Safety &amp; Guardrails</w:t>
      </w:r>
    </w:p>
    <w:p>
      <w:pPr>
        <w:shd w:fill="e8f0fe" w:val="clear"/>
        <w:spacing w:before="100" w:after="100"/>
      </w:pPr>
      <w:r>
        <w:rPr>
          <w:rFonts w:ascii="Arial" w:cs="Arial" w:eastAsia="Arial" w:hAnsi="Arial"/>
          <w:i/>
          <w:iCs/>
          <w:sz w:val="22"/>
          <w:szCs w:val="22"/>
        </w:rPr>
        <w:t xml:space="preserve">Characteristic #7: Every jAI agent has multiple layers of guardrails to prevent harm and ensure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Layer</w:t>
            </w:r>
          </w:p>
        </w:tc>
        <w:tc>
          <w:tcPr>
            <w:tcW w:type="dxa" w:w="73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Guardrails</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Input</w:t>
            </w:r>
          </w:p>
        </w:tc>
        <w:tc>
          <w:tcPr>
            <w:tcW w:type="dxa" w:w="7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Prompt validation, PII detection, injection prevention, content filtering</w:t>
            </w:r>
          </w:p>
        </w:tc>
      </w:tr>
      <w:tr>
        <w:tc>
          <w:tcPr>
            <w:tcW w:type="dxa" w:w="20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Reasoning</w:t>
            </w:r>
          </w:p>
        </w:tc>
        <w:tc>
          <w:tcPr>
            <w:tcW w:type="dxa" w:w="73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Fact verification, bias detection, hallucination detection, domain boundaries</w:t>
            </w:r>
          </w:p>
        </w:tc>
      </w:tr>
      <w:tr>
        <w:tc>
          <w:tcPr>
            <w:tcW w:type="dxa" w:w="20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Action</w:t>
            </w:r>
          </w:p>
        </w:tc>
        <w:tc>
          <w:tcPr>
            <w:tcW w:type="dxa" w:w="73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Permission checking, rate limiting, value limits, reversibility check</w:t>
            </w:r>
          </w:p>
        </w:tc>
      </w:tr>
      <w:tr>
        <w:tc>
          <w:tcPr>
            <w:tcW w:type="dxa" w:w="20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Output</w:t>
            </w:r>
          </w:p>
        </w:tc>
        <w:tc>
          <w:tcPr>
            <w:tcW w:type="dxa" w:w="73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Response validation, PII redaction, compliance check, quality assurance</w:t>
            </w:r>
          </w:p>
        </w:tc>
      </w:tr>
    </w:tbl>
    <w:p>
      <w:pPr>
        <w:spacing w:before="300"/>
      </w:pPr>
    </w:p>
    <w:p>
      <w:pPr>
        <w:pStyle w:val="Heading2"/>
        <w:spacing w:before="300" w:after="150"/>
      </w:pPr>
      <w:r>
        <w:rPr>
          <w:rFonts w:ascii="Arial" w:cs="Arial" w:eastAsia="Arial" w:hAnsi="Arial"/>
          <w:b/>
          <w:bCs/>
          <w:color w:val="1a73e8"/>
          <w:sz w:val="28"/>
          <w:szCs w:val="28"/>
        </w:rPr>
        <w:t xml:space="preserve">2.8 Self-Improving Through Learning</w:t>
      </w:r>
    </w:p>
    <w:p>
      <w:pPr>
        <w:shd w:fill="e8f0fe" w:val="clear"/>
        <w:spacing w:before="100" w:after="100"/>
      </w:pPr>
      <w:r>
        <w:rPr>
          <w:rFonts w:ascii="Arial" w:cs="Arial" w:eastAsia="Arial" w:hAnsi="Arial"/>
          <w:i/>
          <w:iCs/>
          <w:sz w:val="22"/>
          <w:szCs w:val="22"/>
        </w:rPr>
        <w:t xml:space="preserve">Characteristic #8: jAI agents continuously improve from feedback, outcomes, and new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Mechanism</w:t>
            </w:r>
          </w:p>
        </w:tc>
        <w:tc>
          <w:tcPr>
            <w:tcW w:type="dxa" w:w="69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RLHF</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User ratings and expert corrections become reward signals for model updates</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Outcome Learning</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Track decision outcomes to build success/failure patterns and adjust thresholds</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Knowledge Distillation</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Learn from expert agents and transfer knowledge across the fleet</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Active Learning</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Identify uncertain cases and focus learning on high-value edge cases</w:t>
            </w:r>
          </w:p>
        </w:tc>
      </w:tr>
    </w:tbl>
    <w:p>
      <w:pPr>
        <w:spacing w:before="300"/>
      </w:pPr>
    </w:p>
    <w:p>
      <w:pPr>
        <w:pStyle w:val="Heading2"/>
        <w:spacing w:before="300" w:after="150"/>
      </w:pPr>
      <w:r>
        <w:rPr>
          <w:rFonts w:ascii="Arial" w:cs="Arial" w:eastAsia="Arial" w:hAnsi="Arial"/>
          <w:b/>
          <w:bCs/>
          <w:color w:val="1a73e8"/>
          <w:sz w:val="28"/>
          <w:szCs w:val="28"/>
        </w:rPr>
        <w:t xml:space="preserve">2.9 Full Explainability &amp; Transparency</w:t>
      </w:r>
    </w:p>
    <w:p>
      <w:pPr>
        <w:shd w:fill="e8f0fe" w:val="clear"/>
        <w:spacing w:before="100" w:after="100"/>
      </w:pPr>
      <w:r>
        <w:rPr>
          <w:rFonts w:ascii="Arial" w:cs="Arial" w:eastAsia="Arial" w:hAnsi="Arial"/>
          <w:i/>
          <w:iCs/>
          <w:sz w:val="22"/>
          <w:szCs w:val="22"/>
        </w:rPr>
        <w:t xml:space="preserve">Characteristic #9: Every jAI agent decision is fully explainable with reasoning traces, confidence scores, and citations.</w:t>
      </w:r>
    </w:p>
    <w:p>
      <w:pPr>
        <w:pStyle w:val="ListParagraph"/>
        <w:numPr>
          <w:ilvl w:val="0"/>
          <w:numId w:val="2"/>
        </w:numPr>
      </w:pPr>
      <w:r>
        <w:rPr>
          <w:rFonts w:ascii="Arial" w:cs="Arial" w:eastAsia="Arial" w:hAnsi="Arial"/>
          <w:sz w:val="22"/>
          <w:szCs w:val="22"/>
        </w:rPr>
        <w:t xml:space="preserve">Reasoning traces with step-by-step logic</w:t>
      </w:r>
    </w:p>
    <w:p>
      <w:pPr>
        <w:pStyle w:val="ListParagraph"/>
        <w:numPr>
          <w:ilvl w:val="0"/>
          <w:numId w:val="2"/>
        </w:numPr>
      </w:pPr>
      <w:r>
        <w:rPr>
          <w:rFonts w:ascii="Arial" w:cs="Arial" w:eastAsia="Arial" w:hAnsi="Arial"/>
          <w:sz w:val="22"/>
          <w:szCs w:val="22"/>
        </w:rPr>
        <w:t xml:space="preserve">Confidence scores for each decision component</w:t>
      </w:r>
    </w:p>
    <w:p>
      <w:pPr>
        <w:pStyle w:val="ListParagraph"/>
        <w:numPr>
          <w:ilvl w:val="0"/>
          <w:numId w:val="2"/>
        </w:numPr>
      </w:pPr>
      <w:r>
        <w:rPr>
          <w:rFonts w:ascii="Arial" w:cs="Arial" w:eastAsia="Arial" w:hAnsi="Arial"/>
          <w:sz w:val="22"/>
          <w:szCs w:val="22"/>
        </w:rPr>
        <w:t xml:space="preserve">Source citations from knowledge base and documents</w:t>
      </w:r>
    </w:p>
    <w:p>
      <w:pPr>
        <w:pStyle w:val="ListParagraph"/>
        <w:numPr>
          <w:ilvl w:val="0"/>
          <w:numId w:val="2"/>
        </w:numPr>
      </w:pPr>
      <w:r>
        <w:rPr>
          <w:rFonts w:ascii="Arial" w:cs="Arial" w:eastAsia="Arial" w:hAnsi="Arial"/>
          <w:sz w:val="22"/>
          <w:szCs w:val="22"/>
        </w:rPr>
        <w:t xml:space="preserve">Multiple formats: user-friendly, technical, audit, API</w:t>
      </w:r>
    </w:p>
    <w:p>
      <w:r>
        <w:br w:type="page"/>
      </w:r>
    </w:p>
    <w:p>
      <w:pPr>
        <w:pStyle w:val="Heading2"/>
        <w:spacing w:before="300" w:after="150"/>
      </w:pPr>
      <w:r>
        <w:rPr>
          <w:rFonts w:ascii="Arial" w:cs="Arial" w:eastAsia="Arial" w:hAnsi="Arial"/>
          <w:b/>
          <w:bCs/>
          <w:color w:val="1a73e8"/>
          <w:sz w:val="28"/>
          <w:szCs w:val="28"/>
        </w:rPr>
        <w:t xml:space="preserve">2.10 - 2.13 Additional Characteristics</w:t>
      </w:r>
    </w:p>
    <w:p>
      <w:pPr>
        <w:pStyle w:val="Heading3"/>
        <w:spacing w:before="200" w:after="100"/>
      </w:pPr>
      <w:r>
        <w:rPr>
          <w:rFonts w:ascii="Arial" w:cs="Arial" w:eastAsia="Arial" w:hAnsi="Arial"/>
          <w:b/>
          <w:bCs/>
          <w:color w:val="202124"/>
          <w:sz w:val="24"/>
          <w:szCs w:val="24"/>
        </w:rPr>
        <w:t xml:space="preserve">#10: Multi-Modal Understanding</w:t>
      </w:r>
    </w:p>
    <w:p>
      <w:pPr>
        <w:pStyle w:val="ListParagraph"/>
        <w:numPr>
          <w:ilvl w:val="0"/>
          <w:numId w:val="2"/>
        </w:numPr>
      </w:pPr>
      <w:r>
        <w:rPr>
          <w:rFonts w:ascii="Arial" w:cs="Arial" w:eastAsia="Arial" w:hAnsi="Arial"/>
          <w:sz w:val="22"/>
          <w:szCs w:val="22"/>
        </w:rPr>
        <w:t xml:space="preserve">Process text, images, documents, audio, and video</w:t>
      </w:r>
    </w:p>
    <w:p>
      <w:pPr>
        <w:pStyle w:val="ListParagraph"/>
        <w:numPr>
          <w:ilvl w:val="0"/>
          <w:numId w:val="2"/>
        </w:numPr>
      </w:pPr>
      <w:r>
        <w:rPr>
          <w:rFonts w:ascii="Arial" w:cs="Arial" w:eastAsia="Arial" w:hAnsi="Arial"/>
          <w:sz w:val="22"/>
          <w:szCs w:val="22"/>
        </w:rPr>
        <w:t xml:space="preserve">OCR for scanned documents, image analysis for damage photos</w:t>
      </w:r>
    </w:p>
    <w:p>
      <w:pPr>
        <w:pStyle w:val="ListParagraph"/>
        <w:numPr>
          <w:ilvl w:val="0"/>
          <w:numId w:val="2"/>
        </w:numPr>
      </w:pPr>
      <w:r>
        <w:rPr>
          <w:rFonts w:ascii="Arial" w:cs="Arial" w:eastAsia="Arial" w:hAnsi="Arial"/>
          <w:sz w:val="22"/>
          <w:szCs w:val="22"/>
        </w:rPr>
        <w:t xml:space="preserve">Voice transcription and sentiment analysis</w:t>
      </w:r>
    </w:p>
    <w:p>
      <w:pPr>
        <w:spacing w:before="200"/>
      </w:pPr>
    </w:p>
    <w:p>
      <w:pPr>
        <w:pStyle w:val="Heading3"/>
        <w:spacing w:before="200" w:after="100"/>
      </w:pPr>
      <w:r>
        <w:rPr>
          <w:rFonts w:ascii="Arial" w:cs="Arial" w:eastAsia="Arial" w:hAnsi="Arial"/>
          <w:b/>
          <w:bCs/>
          <w:color w:val="202124"/>
          <w:sz w:val="24"/>
          <w:szCs w:val="24"/>
        </w:rPr>
        <w:t xml:space="preserve">#11: Proactive Intelligence</w:t>
      </w:r>
    </w:p>
    <w:p>
      <w:pPr>
        <w:pStyle w:val="ListParagraph"/>
        <w:numPr>
          <w:ilvl w:val="0"/>
          <w:numId w:val="2"/>
        </w:numPr>
      </w:pPr>
      <w:r>
        <w:rPr>
          <w:rFonts w:ascii="Arial" w:cs="Arial" w:eastAsia="Arial" w:hAnsi="Arial"/>
          <w:sz w:val="22"/>
          <w:szCs w:val="22"/>
        </w:rPr>
        <w:t xml:space="preserve">Monitor for events and trigger actions automatically</w:t>
      </w:r>
    </w:p>
    <w:p>
      <w:pPr>
        <w:pStyle w:val="ListParagraph"/>
        <w:numPr>
          <w:ilvl w:val="0"/>
          <w:numId w:val="2"/>
        </w:numPr>
      </w:pPr>
      <w:r>
        <w:rPr>
          <w:rFonts w:ascii="Arial" w:cs="Arial" w:eastAsia="Arial" w:hAnsi="Arial"/>
          <w:sz w:val="22"/>
          <w:szCs w:val="22"/>
        </w:rPr>
        <w:t xml:space="preserve">Anticipate user needs based on patterns</w:t>
      </w:r>
    </w:p>
    <w:p>
      <w:pPr>
        <w:pStyle w:val="ListParagraph"/>
        <w:numPr>
          <w:ilvl w:val="0"/>
          <w:numId w:val="2"/>
        </w:numPr>
      </w:pPr>
      <w:r>
        <w:rPr>
          <w:rFonts w:ascii="Arial" w:cs="Arial" w:eastAsia="Arial" w:hAnsi="Arial"/>
          <w:sz w:val="22"/>
          <w:szCs w:val="22"/>
        </w:rPr>
        <w:t xml:space="preserve">Alert on anomalies before they escalate</w:t>
      </w:r>
    </w:p>
    <w:p>
      <w:pPr>
        <w:spacing w:before="200"/>
      </w:pPr>
    </w:p>
    <w:p>
      <w:pPr>
        <w:pStyle w:val="Heading3"/>
        <w:spacing w:before="200" w:after="100"/>
      </w:pPr>
      <w:r>
        <w:rPr>
          <w:rFonts w:ascii="Arial" w:cs="Arial" w:eastAsia="Arial" w:hAnsi="Arial"/>
          <w:b/>
          <w:bCs/>
          <w:color w:val="202124"/>
          <w:sz w:val="24"/>
          <w:szCs w:val="24"/>
        </w:rPr>
        <w:t xml:space="preserve">#12: Regulatory Compliance Engine</w:t>
      </w:r>
    </w:p>
    <w:p>
      <w:pPr>
        <w:pStyle w:val="ListParagraph"/>
        <w:numPr>
          <w:ilvl w:val="0"/>
          <w:numId w:val="2"/>
        </w:numPr>
      </w:pPr>
      <w:r>
        <w:rPr>
          <w:rFonts w:ascii="Arial" w:cs="Arial" w:eastAsia="Arial" w:hAnsi="Arial"/>
          <w:sz w:val="22"/>
          <w:szCs w:val="22"/>
        </w:rPr>
        <w:t xml:space="preserve">Built-in knowledge of regulations (HIPAA, PCI-DSS, GDPR, SOX)</w:t>
      </w:r>
    </w:p>
    <w:p>
      <w:pPr>
        <w:pStyle w:val="ListParagraph"/>
        <w:numPr>
          <w:ilvl w:val="0"/>
          <w:numId w:val="2"/>
        </w:numPr>
      </w:pPr>
      <w:r>
        <w:rPr>
          <w:rFonts w:ascii="Arial" w:cs="Arial" w:eastAsia="Arial" w:hAnsi="Arial"/>
          <w:sz w:val="22"/>
          <w:szCs w:val="22"/>
        </w:rPr>
        <w:t xml:space="preserve">Automatic compliance checking on all actions</w:t>
      </w:r>
    </w:p>
    <w:p>
      <w:pPr>
        <w:pStyle w:val="ListParagraph"/>
        <w:numPr>
          <w:ilvl w:val="0"/>
          <w:numId w:val="2"/>
        </w:numPr>
      </w:pPr>
      <w:r>
        <w:rPr>
          <w:rFonts w:ascii="Arial" w:cs="Arial" w:eastAsia="Arial" w:hAnsi="Arial"/>
          <w:sz w:val="22"/>
          <w:szCs w:val="22"/>
        </w:rPr>
        <w:t xml:space="preserve">Jurisdiction-aware with state/country-specific rules</w:t>
      </w:r>
    </w:p>
    <w:p>
      <w:pPr>
        <w:spacing w:before="200"/>
      </w:pPr>
    </w:p>
    <w:p>
      <w:pPr>
        <w:pStyle w:val="Heading3"/>
        <w:spacing w:before="200" w:after="100"/>
      </w:pPr>
      <w:r>
        <w:rPr>
          <w:rFonts w:ascii="Arial" w:cs="Arial" w:eastAsia="Arial" w:hAnsi="Arial"/>
          <w:b/>
          <w:bCs/>
          <w:color w:val="202124"/>
          <w:sz w:val="24"/>
          <w:szCs w:val="24"/>
        </w:rPr>
        <w:t xml:space="preserve">#13: Observability &amp; Telemetry</w:t>
      </w:r>
    </w:p>
    <w:p>
      <w:pPr>
        <w:pStyle w:val="ListParagraph"/>
        <w:numPr>
          <w:ilvl w:val="0"/>
          <w:numId w:val="2"/>
        </w:numPr>
      </w:pPr>
      <w:r>
        <w:rPr>
          <w:rFonts w:ascii="Arial" w:cs="Arial" w:eastAsia="Arial" w:hAnsi="Arial"/>
          <w:sz w:val="22"/>
          <w:szCs w:val="22"/>
        </w:rPr>
        <w:t xml:space="preserve">Real-time performance metrics (latency p50/p95/p99)</w:t>
      </w:r>
    </w:p>
    <w:p>
      <w:pPr>
        <w:pStyle w:val="ListParagraph"/>
        <w:numPr>
          <w:ilvl w:val="0"/>
          <w:numId w:val="2"/>
        </w:numPr>
      </w:pPr>
      <w:r>
        <w:rPr>
          <w:rFonts w:ascii="Arial" w:cs="Arial" w:eastAsia="Arial" w:hAnsi="Arial"/>
          <w:sz w:val="22"/>
          <w:szCs w:val="22"/>
        </w:rPr>
        <w:t xml:space="preserve">Distributed tracing across agent interactions</w:t>
      </w:r>
    </w:p>
    <w:p>
      <w:pPr>
        <w:pStyle w:val="ListParagraph"/>
        <w:numPr>
          <w:ilvl w:val="0"/>
          <w:numId w:val="2"/>
        </w:numPr>
      </w:pPr>
      <w:r>
        <w:rPr>
          <w:rFonts w:ascii="Arial" w:cs="Arial" w:eastAsia="Arial" w:hAnsi="Arial"/>
          <w:sz w:val="22"/>
          <w:szCs w:val="22"/>
        </w:rPr>
        <w:t xml:space="preserve">Cost tracking per request and agent</w:t>
      </w:r>
    </w:p>
    <w:p>
      <w:r>
        <w:br w:type="page"/>
      </w:r>
    </w:p>
    <w:p>
      <w:pPr>
        <w:pStyle w:val="Heading1"/>
        <w:spacing w:before="400" w:after="200"/>
      </w:pPr>
      <w:r>
        <w:rPr>
          <w:rFonts w:ascii="Arial" w:cs="Arial" w:eastAsia="Arial" w:hAnsi="Arial"/>
          <w:b/>
          <w:bCs/>
          <w:color w:val="0d4f8b"/>
          <w:sz w:val="36"/>
          <w:szCs w:val="36"/>
        </w:rPr>
        <w:t xml:space="preserve">3. Insurance Domain Agent Configurations</w:t>
      </w:r>
    </w:p>
    <w:p>
      <w:pPr>
        <w:spacing w:before="100" w:after="100"/>
        <w:jc w:val="left"/>
      </w:pPr>
      <w:r>
        <w:rPr>
          <w:rFonts w:ascii="Arial" w:cs="Arial" w:eastAsia="Arial" w:hAnsi="Arial"/>
          <w:color w:val="202124"/>
          <w:sz w:val="22"/>
          <w:szCs w:val="22"/>
        </w:rPr>
        <w:t xml:space="preserve">Production-ready configurations for insurance-specific agents.</w:t>
      </w:r>
    </w:p>
    <w:p>
      <w:pPr>
        <w:spacing w:before="300"/>
      </w:pPr>
    </w:p>
    <w:p>
      <w:pPr>
        <w:pStyle w:val="Heading2"/>
        <w:spacing w:before="300" w:after="150"/>
      </w:pPr>
      <w:r>
        <w:rPr>
          <w:rFonts w:ascii="Arial" w:cs="Arial" w:eastAsia="Arial" w:hAnsi="Arial"/>
          <w:b/>
          <w:bCs/>
          <w:color w:val="1a73e8"/>
          <w:sz w:val="28"/>
          <w:szCs w:val="28"/>
        </w:rPr>
        <w:t xml:space="preserve">3.1 Claims Processing Agent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Attribute</w:t>
            </w:r>
          </w:p>
        </w:tc>
        <w:tc>
          <w:tcPr>
            <w:tcW w:type="dxa" w:w="69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Agent ID</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jai-claims-agent-v2.1.0</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Domain</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Insurance Claims Processing</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Trust Level</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LEVEL_4 (financial transactions up to $100K)</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Primary LLM</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Claude 3.5 Sonnet</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Fallback LLM</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Llama 3.1 70B (on-premises)</w:t>
            </w:r>
          </w:p>
        </w:tc>
      </w:tr>
    </w:tbl>
    <w:p>
      <w:pPr>
        <w:spacing w:before="200"/>
      </w:pPr>
    </w:p>
    <w:p>
      <w:pPr>
        <w:pStyle w:val="Heading3"/>
        <w:spacing w:before="200" w:after="100"/>
      </w:pPr>
      <w:r>
        <w:rPr>
          <w:rFonts w:ascii="Arial" w:cs="Arial" w:eastAsia="Arial" w:hAnsi="Arial"/>
          <w:b/>
          <w:bCs/>
          <w:color w:val="202124"/>
          <w:sz w:val="24"/>
          <w:szCs w:val="24"/>
        </w:rPr>
        <w:t xml:space="preserve">Decision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Rule</w:t>
            </w:r>
          </w:p>
        </w:tc>
        <w:tc>
          <w:tcPr>
            <w:tcW w:type="dxa" w:w="34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Conditions</w:t>
            </w:r>
          </w:p>
        </w:tc>
        <w:tc>
          <w:tcPr>
            <w:tcW w:type="dxa" w:w="34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bCs/>
                <w:color w:val="202124"/>
                <w:sz w:val="20"/>
                <w:szCs w:val="20"/>
              </w:rPr>
              <w:t xml:space="preserve">auto_approve</w:t>
            </w:r>
          </w:p>
        </w:tc>
        <w:tc>
          <w:tcPr>
            <w:tcW w:type="dxa" w:w="34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fraud_risk &lt; 0.2 AND amount &lt; $10K</w:t>
            </w:r>
          </w:p>
        </w:tc>
        <w:tc>
          <w:tcPr>
            <w:tcW w:type="dxa" w:w="348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Approve automatically</w:t>
            </w:r>
          </w:p>
        </w:tc>
      </w:tr>
      <w:tr>
        <w:tc>
          <w:tcPr>
            <w:tcW w:type="dxa" w:w="2400"/>
            <w:tcBorders>
              <w:top w:val="single" w:color="CCCCCC" w:sz="1"/>
              <w:left w:val="single" w:color="CCCCCC" w:sz="1"/>
              <w:bottom w:val="single" w:color="CCCCCC" w:sz="1"/>
              <w:right w:val="single" w:color="CCCCCC" w:sz="1"/>
            </w:tcBorders>
            <w:shd w:fill="fff8e1" w:val="clear"/>
            <w:vAlign w:val="center"/>
          </w:tcPr>
          <w:p>
            <w:pPr>
              <w:jc w:val="left"/>
            </w:pPr>
            <w:r>
              <w:rPr>
                <w:rFonts w:ascii="Arial" w:cs="Arial" w:eastAsia="Arial" w:hAnsi="Arial"/>
                <w:b/>
                <w:bCs/>
                <w:color w:val="202124"/>
                <w:sz w:val="20"/>
                <w:szCs w:val="20"/>
              </w:rPr>
              <w:t xml:space="preserve">flag_for_review</w:t>
            </w:r>
          </w:p>
        </w:tc>
        <w:tc>
          <w:tcPr>
            <w:tcW w:type="dxa" w:w="3480"/>
            <w:tcBorders>
              <w:top w:val="single" w:color="CCCCCC" w:sz="1"/>
              <w:left w:val="single" w:color="CCCCCC" w:sz="1"/>
              <w:bottom w:val="single" w:color="CCCCCC" w:sz="1"/>
              <w:right w:val="single" w:color="CCCCCC" w:sz="1"/>
            </w:tcBorders>
            <w:shd w:fill="fff8e1" w:val="clear"/>
            <w:vAlign w:val="center"/>
          </w:tcPr>
          <w:p>
            <w:pPr>
              <w:jc w:val="left"/>
            </w:pPr>
            <w:r>
              <w:rPr>
                <w:rFonts w:ascii="Arial" w:cs="Arial" w:eastAsia="Arial" w:hAnsi="Arial"/>
                <w:b w:val="false"/>
                <w:bCs w:val="false"/>
                <w:color w:val="202124"/>
                <w:sz w:val="20"/>
                <w:szCs w:val="20"/>
              </w:rPr>
              <w:t xml:space="preserve">fraud_risk 0.2-0.5 OR amt $10K-$50K</w:t>
            </w:r>
          </w:p>
        </w:tc>
        <w:tc>
          <w:tcPr>
            <w:tcW w:type="dxa" w:w="3480"/>
            <w:tcBorders>
              <w:top w:val="single" w:color="CCCCCC" w:sz="1"/>
              <w:left w:val="single" w:color="CCCCCC" w:sz="1"/>
              <w:bottom w:val="single" w:color="CCCCCC" w:sz="1"/>
              <w:right w:val="single" w:color="CCCCCC" w:sz="1"/>
            </w:tcBorders>
            <w:shd w:fill="fff8e1" w:val="clear"/>
            <w:vAlign w:val="center"/>
          </w:tcPr>
          <w:p>
            <w:pPr>
              <w:jc w:val="left"/>
            </w:pPr>
            <w:r>
              <w:rPr>
                <w:rFonts w:ascii="Arial" w:cs="Arial" w:eastAsia="Arial" w:hAnsi="Arial"/>
                <w:b w:val="false"/>
                <w:bCs w:val="false"/>
                <w:color w:val="202124"/>
                <w:sz w:val="20"/>
                <w:szCs w:val="20"/>
              </w:rPr>
              <w:t xml:space="preserve">Route to senior adjuster</w:t>
            </w:r>
          </w:p>
        </w:tc>
      </w:tr>
      <w:tr>
        <w:tc>
          <w:tcPr>
            <w:tcW w:type="dxa" w:w="2400"/>
            <w:tcBorders>
              <w:top w:val="single" w:color="CCCCCC" w:sz="1"/>
              <w:left w:val="single" w:color="CCCCCC" w:sz="1"/>
              <w:bottom w:val="single" w:color="CCCCCC" w:sz="1"/>
              <w:right w:val="single" w:color="CCCCCC" w:sz="1"/>
            </w:tcBorders>
            <w:shd w:fill="ffebee" w:val="clear"/>
            <w:vAlign w:val="center"/>
          </w:tcPr>
          <w:p>
            <w:pPr>
              <w:jc w:val="left"/>
            </w:pPr>
            <w:r>
              <w:rPr>
                <w:rFonts w:ascii="Arial" w:cs="Arial" w:eastAsia="Arial" w:hAnsi="Arial"/>
                <w:b/>
                <w:bCs/>
                <w:color w:val="202124"/>
                <w:sz w:val="20"/>
                <w:szCs w:val="20"/>
              </w:rPr>
              <w:t xml:space="preserve">refer_to_siu</w:t>
            </w:r>
          </w:p>
        </w:tc>
        <w:tc>
          <w:tcPr>
            <w:tcW w:type="dxa" w:w="3480"/>
            <w:tcBorders>
              <w:top w:val="single" w:color="CCCCCC" w:sz="1"/>
              <w:left w:val="single" w:color="CCCCCC" w:sz="1"/>
              <w:bottom w:val="single" w:color="CCCCCC" w:sz="1"/>
              <w:right w:val="single" w:color="CCCCCC" w:sz="1"/>
            </w:tcBorders>
            <w:shd w:fill="ffebee" w:val="clear"/>
            <w:vAlign w:val="center"/>
          </w:tcPr>
          <w:p>
            <w:pPr>
              <w:jc w:val="left"/>
            </w:pPr>
            <w:r>
              <w:rPr>
                <w:rFonts w:ascii="Arial" w:cs="Arial" w:eastAsia="Arial" w:hAnsi="Arial"/>
                <w:b w:val="false"/>
                <w:bCs w:val="false"/>
                <w:color w:val="202124"/>
                <w:sz w:val="20"/>
                <w:szCs w:val="20"/>
              </w:rPr>
              <w:t xml:space="preserve">fraud_risk &gt;= 0.5 OR pattern match</w:t>
            </w:r>
          </w:p>
        </w:tc>
        <w:tc>
          <w:tcPr>
            <w:tcW w:type="dxa" w:w="3480"/>
            <w:tcBorders>
              <w:top w:val="single" w:color="CCCCCC" w:sz="1"/>
              <w:left w:val="single" w:color="CCCCCC" w:sz="1"/>
              <w:bottom w:val="single" w:color="CCCCCC" w:sz="1"/>
              <w:right w:val="single" w:color="CCCCCC" w:sz="1"/>
            </w:tcBorders>
            <w:shd w:fill="ffebee" w:val="clear"/>
            <w:vAlign w:val="center"/>
          </w:tcPr>
          <w:p>
            <w:pPr>
              <w:jc w:val="left"/>
            </w:pPr>
            <w:r>
              <w:rPr>
                <w:rFonts w:ascii="Arial" w:cs="Arial" w:eastAsia="Arial" w:hAnsi="Arial"/>
                <w:b w:val="false"/>
                <w:bCs w:val="false"/>
                <w:color w:val="202124"/>
                <w:sz w:val="20"/>
                <w:szCs w:val="20"/>
              </w:rPr>
              <w:t xml:space="preserve">Hold and refer to SIU</w:t>
            </w:r>
          </w:p>
        </w:tc>
      </w:tr>
      <w:tr>
        <w:tc>
          <w:tcPr>
            <w:tcW w:type="dxa" w:w="2400"/>
            <w:tcBorders>
              <w:top w:val="single" w:color="CCCCCC" w:sz="1"/>
              <w:left w:val="single" w:color="CCCCCC" w:sz="1"/>
              <w:bottom w:val="single" w:color="CCCCCC" w:sz="1"/>
              <w:right w:val="single" w:color="CCCCCC" w:sz="1"/>
            </w:tcBorders>
            <w:shd w:fill="e3f2fd" w:val="clear"/>
            <w:vAlign w:val="center"/>
          </w:tcPr>
          <w:p>
            <w:pPr>
              <w:jc w:val="left"/>
            </w:pPr>
            <w:r>
              <w:rPr>
                <w:rFonts w:ascii="Arial" w:cs="Arial" w:eastAsia="Arial" w:hAnsi="Arial"/>
                <w:b/>
                <w:bCs/>
                <w:color w:val="202124"/>
                <w:sz w:val="20"/>
                <w:szCs w:val="20"/>
              </w:rPr>
              <w:t xml:space="preserve">escalate_high_value</w:t>
            </w:r>
          </w:p>
        </w:tc>
        <w:tc>
          <w:tcPr>
            <w:tcW w:type="dxa" w:w="3480"/>
            <w:tcBorders>
              <w:top w:val="single" w:color="CCCCCC" w:sz="1"/>
              <w:left w:val="single" w:color="CCCCCC" w:sz="1"/>
              <w:bottom w:val="single" w:color="CCCCCC" w:sz="1"/>
              <w:right w:val="single" w:color="CCCCCC" w:sz="1"/>
            </w:tcBorders>
            <w:shd w:fill="e3f2fd" w:val="clear"/>
            <w:vAlign w:val="center"/>
          </w:tcPr>
          <w:p>
            <w:pPr>
              <w:jc w:val="left"/>
            </w:pPr>
            <w:r>
              <w:rPr>
                <w:rFonts w:ascii="Arial" w:cs="Arial" w:eastAsia="Arial" w:hAnsi="Arial"/>
                <w:b w:val="false"/>
                <w:bCs w:val="false"/>
                <w:color w:val="202124"/>
                <w:sz w:val="20"/>
                <w:szCs w:val="20"/>
              </w:rPr>
              <w:t xml:space="preserve">amount &gt;= $50K</w:t>
            </w:r>
          </w:p>
        </w:tc>
        <w:tc>
          <w:tcPr>
            <w:tcW w:type="dxa" w:w="3480"/>
            <w:tcBorders>
              <w:top w:val="single" w:color="CCCCCC" w:sz="1"/>
              <w:left w:val="single" w:color="CCCCCC" w:sz="1"/>
              <w:bottom w:val="single" w:color="CCCCCC" w:sz="1"/>
              <w:right w:val="single" w:color="CCCCCC" w:sz="1"/>
            </w:tcBorders>
            <w:shd w:fill="e3f2fd" w:val="clear"/>
            <w:vAlign w:val="center"/>
          </w:tcPr>
          <w:p>
            <w:pPr>
              <w:jc w:val="left"/>
            </w:pPr>
            <w:r>
              <w:rPr>
                <w:rFonts w:ascii="Arial" w:cs="Arial" w:eastAsia="Arial" w:hAnsi="Arial"/>
                <w:b w:val="false"/>
                <w:bCs w:val="false"/>
                <w:color w:val="202124"/>
                <w:sz w:val="20"/>
                <w:szCs w:val="20"/>
              </w:rPr>
              <w:t xml:space="preserve">Route to supervisor</w:t>
            </w:r>
          </w:p>
        </w:tc>
      </w:tr>
    </w:tbl>
    <w:p>
      <w:pPr>
        <w:spacing w:before="300"/>
      </w:pPr>
    </w:p>
    <w:p>
      <w:pPr>
        <w:pStyle w:val="Heading2"/>
        <w:spacing w:before="300" w:after="150"/>
      </w:pPr>
      <w:r>
        <w:rPr>
          <w:rFonts w:ascii="Arial" w:cs="Arial" w:eastAsia="Arial" w:hAnsi="Arial"/>
          <w:b/>
          <w:bCs/>
          <w:color w:val="1a73e8"/>
          <w:sz w:val="28"/>
          <w:szCs w:val="28"/>
        </w:rPr>
        <w:t xml:space="preserve">3.2 Fraud Detection Agent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Attribute</w:t>
            </w:r>
          </w:p>
        </w:tc>
        <w:tc>
          <w:tcPr>
            <w:tcW w:type="dxa" w:w="69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Agent ID</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jai-fraud-agent-v3.0.0</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Domain</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Insurance Fraud Detection &amp; Investigation</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Trust Level</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LEVEL_3 (flag, hold, refer but not approve/deny)</w:t>
            </w:r>
          </w:p>
        </w:tc>
      </w:tr>
    </w:tbl>
    <w:p>
      <w:pPr>
        <w:spacing w:before="200"/>
      </w:pPr>
    </w:p>
    <w:p>
      <w:pPr>
        <w:pStyle w:val="Heading3"/>
        <w:spacing w:before="200" w:after="100"/>
      </w:pPr>
      <w:r>
        <w:rPr>
          <w:rFonts w:ascii="Arial" w:cs="Arial" w:eastAsia="Arial" w:hAnsi="Arial"/>
          <w:b/>
          <w:bCs/>
          <w:color w:val="202124"/>
          <w:sz w:val="24"/>
          <w:szCs w:val="24"/>
        </w:rPr>
        <w:t xml:space="preserve">Risk Score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Score</w:t>
            </w:r>
          </w:p>
        </w:tc>
        <w:tc>
          <w:tcPr>
            <w:tcW w:type="dxa" w:w="20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Level</w:t>
            </w:r>
          </w:p>
        </w:tc>
        <w:tc>
          <w:tcPr>
            <w:tcW w:type="dxa" w:w="55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val="false"/>
                <w:bCs w:val="false"/>
                <w:color w:val="202124"/>
                <w:sz w:val="20"/>
                <w:szCs w:val="20"/>
              </w:rPr>
              <w:t xml:space="preserve">0.00-0.20</w:t>
            </w:r>
          </w:p>
        </w:tc>
        <w:tc>
          <w:tcPr>
            <w:tcW w:type="dxa" w:w="200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Low</w:t>
            </w:r>
          </w:p>
        </w:tc>
        <w:tc>
          <w:tcPr>
            <w:tcW w:type="dxa" w:w="55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Auto-approve if other criteria met</w:t>
            </w:r>
          </w:p>
        </w:tc>
      </w:tr>
      <w:tr>
        <w:tc>
          <w:tcPr>
            <w:tcW w:type="dxa" w:w="18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val="false"/>
                <w:bCs w:val="false"/>
                <w:color w:val="202124"/>
                <w:sz w:val="20"/>
                <w:szCs w:val="20"/>
              </w:rPr>
              <w:t xml:space="preserve">0.21-0.50</w:t>
            </w:r>
          </w:p>
        </w:tc>
        <w:tc>
          <w:tcPr>
            <w:tcW w:type="dxa" w:w="2000"/>
            <w:tcBorders>
              <w:top w:val="single" w:color="CCCCCC" w:sz="1"/>
              <w:left w:val="single" w:color="CCCCCC" w:sz="1"/>
              <w:bottom w:val="single" w:color="CCCCCC" w:sz="1"/>
              <w:right w:val="single" w:color="CCCCCC" w:sz="1"/>
            </w:tcBorders>
            <w:shd w:fill="fff8e1" w:val="clear"/>
            <w:vAlign w:val="center"/>
          </w:tcPr>
          <w:p>
            <w:pPr>
              <w:jc w:val="left"/>
            </w:pPr>
            <w:r>
              <w:rPr>
                <w:rFonts w:ascii="Arial" w:cs="Arial" w:eastAsia="Arial" w:hAnsi="Arial"/>
                <w:b w:val="false"/>
                <w:bCs w:val="false"/>
                <w:color w:val="202124"/>
                <w:sz w:val="20"/>
                <w:szCs w:val="20"/>
              </w:rPr>
              <w:t xml:space="preserve">Medium</w:t>
            </w:r>
          </w:p>
        </w:tc>
        <w:tc>
          <w:tcPr>
            <w:tcW w:type="dxa" w:w="5560"/>
            <w:tcBorders>
              <w:top w:val="single" w:color="CCCCCC" w:sz="1"/>
              <w:left w:val="single" w:color="CCCCCC" w:sz="1"/>
              <w:bottom w:val="single" w:color="CCCCCC" w:sz="1"/>
              <w:right w:val="single" w:color="CCCCCC" w:sz="1"/>
            </w:tcBorders>
            <w:shd w:fill="fff8e1" w:val="clear"/>
            <w:vAlign w:val="center"/>
          </w:tcPr>
          <w:p>
            <w:pPr>
              <w:jc w:val="left"/>
            </w:pPr>
            <w:r>
              <w:rPr>
                <w:rFonts w:ascii="Arial" w:cs="Arial" w:eastAsia="Arial" w:hAnsi="Arial"/>
                <w:b w:val="false"/>
                <w:bCs w:val="false"/>
                <w:color w:val="202124"/>
                <w:sz w:val="20"/>
                <w:szCs w:val="20"/>
              </w:rPr>
              <w:t xml:space="preserve">Enhanced review by senior adjuster</w:t>
            </w:r>
          </w:p>
        </w:tc>
      </w:tr>
      <w:tr>
        <w:tc>
          <w:tcPr>
            <w:tcW w:type="dxa" w:w="1800"/>
            <w:tcBorders>
              <w:top w:val="single" w:color="CCCCCC" w:sz="1"/>
              <w:left w:val="single" w:color="CCCCCC" w:sz="1"/>
              <w:bottom w:val="single" w:color="CCCCCC" w:sz="1"/>
              <w:right w:val="single" w:color="CCCCCC" w:sz="1"/>
            </w:tcBorders>
            <w:shd w:fill="ffe0b2" w:val="clear"/>
            <w:vAlign w:val="center"/>
          </w:tcPr>
          <w:p>
            <w:pPr>
              <w:jc w:val="center"/>
            </w:pPr>
            <w:r>
              <w:rPr>
                <w:rFonts w:ascii="Arial" w:cs="Arial" w:eastAsia="Arial" w:hAnsi="Arial"/>
                <w:b w:val="false"/>
                <w:bCs w:val="false"/>
                <w:color w:val="202124"/>
                <w:sz w:val="20"/>
                <w:szCs w:val="20"/>
              </w:rPr>
              <w:t xml:space="preserve">0.51-0.75</w:t>
            </w:r>
          </w:p>
        </w:tc>
        <w:tc>
          <w:tcPr>
            <w:tcW w:type="dxa" w:w="2000"/>
            <w:tcBorders>
              <w:top w:val="single" w:color="CCCCCC" w:sz="1"/>
              <w:left w:val="single" w:color="CCCCCC" w:sz="1"/>
              <w:bottom w:val="single" w:color="CCCCCC" w:sz="1"/>
              <w:right w:val="single" w:color="CCCCCC" w:sz="1"/>
            </w:tcBorders>
            <w:shd w:fill="ffe0b2" w:val="clear"/>
            <w:vAlign w:val="center"/>
          </w:tcPr>
          <w:p>
            <w:pPr>
              <w:jc w:val="left"/>
            </w:pPr>
            <w:r>
              <w:rPr>
                <w:rFonts w:ascii="Arial" w:cs="Arial" w:eastAsia="Arial" w:hAnsi="Arial"/>
                <w:b w:val="false"/>
                <w:bCs w:val="false"/>
                <w:color w:val="202124"/>
                <w:sz w:val="20"/>
                <w:szCs w:val="20"/>
              </w:rPr>
              <w:t xml:space="preserve">High</w:t>
            </w:r>
          </w:p>
        </w:tc>
        <w:tc>
          <w:tcPr>
            <w:tcW w:type="dxa" w:w="5560"/>
            <w:tcBorders>
              <w:top w:val="single" w:color="CCCCCC" w:sz="1"/>
              <w:left w:val="single" w:color="CCCCCC" w:sz="1"/>
              <w:bottom w:val="single" w:color="CCCCCC" w:sz="1"/>
              <w:right w:val="single" w:color="CCCCCC" w:sz="1"/>
            </w:tcBorders>
            <w:shd w:fill="ffe0b2" w:val="clear"/>
            <w:vAlign w:val="center"/>
          </w:tcPr>
          <w:p>
            <w:pPr>
              <w:jc w:val="left"/>
            </w:pPr>
            <w:r>
              <w:rPr>
                <w:rFonts w:ascii="Arial" w:cs="Arial" w:eastAsia="Arial" w:hAnsi="Arial"/>
                <w:b w:val="false"/>
                <w:bCs w:val="false"/>
                <w:color w:val="202124"/>
                <w:sz w:val="20"/>
                <w:szCs w:val="20"/>
              </w:rPr>
              <w:t xml:space="preserve">Manual investigation required</w:t>
            </w:r>
          </w:p>
        </w:tc>
      </w:tr>
      <w:tr>
        <w:tc>
          <w:tcPr>
            <w:tcW w:type="dxa" w:w="18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0.76-1.00</w:t>
            </w:r>
          </w:p>
        </w:tc>
        <w:tc>
          <w:tcPr>
            <w:tcW w:type="dxa" w:w="2000"/>
            <w:tcBorders>
              <w:top w:val="single" w:color="CCCCCC" w:sz="1"/>
              <w:left w:val="single" w:color="CCCCCC" w:sz="1"/>
              <w:bottom w:val="single" w:color="CCCCCC" w:sz="1"/>
              <w:right w:val="single" w:color="CCCCCC" w:sz="1"/>
            </w:tcBorders>
            <w:shd w:fill="ffebee" w:val="clear"/>
            <w:vAlign w:val="center"/>
          </w:tcPr>
          <w:p>
            <w:pPr>
              <w:jc w:val="left"/>
            </w:pPr>
            <w:r>
              <w:rPr>
                <w:rFonts w:ascii="Arial" w:cs="Arial" w:eastAsia="Arial" w:hAnsi="Arial"/>
                <w:b w:val="false"/>
                <w:bCs w:val="false"/>
                <w:color w:val="202124"/>
                <w:sz w:val="20"/>
                <w:szCs w:val="20"/>
              </w:rPr>
              <w:t xml:space="preserve">Critical</w:t>
            </w:r>
          </w:p>
        </w:tc>
        <w:tc>
          <w:tcPr>
            <w:tcW w:type="dxa" w:w="5560"/>
            <w:tcBorders>
              <w:top w:val="single" w:color="CCCCCC" w:sz="1"/>
              <w:left w:val="single" w:color="CCCCCC" w:sz="1"/>
              <w:bottom w:val="single" w:color="CCCCCC" w:sz="1"/>
              <w:right w:val="single" w:color="CCCCCC" w:sz="1"/>
            </w:tcBorders>
            <w:shd w:fill="ffebee" w:val="clear"/>
            <w:vAlign w:val="center"/>
          </w:tcPr>
          <w:p>
            <w:pPr>
              <w:jc w:val="left"/>
            </w:pPr>
            <w:r>
              <w:rPr>
                <w:rFonts w:ascii="Arial" w:cs="Arial" w:eastAsia="Arial" w:hAnsi="Arial"/>
                <w:b w:val="false"/>
                <w:bCs w:val="false"/>
                <w:color w:val="202124"/>
                <w:sz w:val="20"/>
                <w:szCs w:val="20"/>
              </w:rPr>
              <w:t xml:space="preserve">SIU referral + hold + possible law enforcement</w:t>
            </w:r>
          </w:p>
        </w:tc>
      </w:tr>
    </w:tbl>
    <w:p>
      <w:r>
        <w:br w:type="page"/>
      </w:r>
    </w:p>
    <w:p>
      <w:pPr>
        <w:pStyle w:val="Heading1"/>
        <w:spacing w:before="400" w:after="200"/>
      </w:pPr>
      <w:r>
        <w:rPr>
          <w:rFonts w:ascii="Arial" w:cs="Arial" w:eastAsia="Arial" w:hAnsi="Arial"/>
          <w:b/>
          <w:bCs/>
          <w:color w:val="0d4f8b"/>
          <w:sz w:val="36"/>
          <w:szCs w:val="36"/>
        </w:rPr>
        <w:t xml:space="preserve">4. Banking Domain Agent Configurations</w:t>
      </w:r>
    </w:p>
    <w:p>
      <w:pPr>
        <w:spacing w:before="100" w:after="100"/>
        <w:jc w:val="left"/>
      </w:pPr>
      <w:r>
        <w:rPr>
          <w:rFonts w:ascii="Arial" w:cs="Arial" w:eastAsia="Arial" w:hAnsi="Arial"/>
          <w:color w:val="202124"/>
          <w:sz w:val="22"/>
          <w:szCs w:val="22"/>
        </w:rPr>
        <w:t xml:space="preserve">Production-ready configurations for banking-specific agents.</w:t>
      </w:r>
    </w:p>
    <w:p>
      <w:pPr>
        <w:spacing w:before="300"/>
      </w:pPr>
    </w:p>
    <w:p>
      <w:pPr>
        <w:pStyle w:val="Heading2"/>
        <w:spacing w:before="300" w:after="150"/>
      </w:pPr>
      <w:r>
        <w:rPr>
          <w:rFonts w:ascii="Arial" w:cs="Arial" w:eastAsia="Arial" w:hAnsi="Arial"/>
          <w:b/>
          <w:bCs/>
          <w:color w:val="1a73e8"/>
          <w:sz w:val="28"/>
          <w:szCs w:val="28"/>
        </w:rPr>
        <w:t xml:space="preserve">4.1 Credit Analysis Agent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Attribute</w:t>
            </w:r>
          </w:p>
        </w:tc>
        <w:tc>
          <w:tcPr>
            <w:tcW w:type="dxa" w:w="69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Agent ID</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jai-credit-agent-v2.0.0</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Domain</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Credit Analysis &amp; Loan Underwriting</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Trust Level</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LEVEL_4 (approve loans up to $500K)</w:t>
            </w:r>
          </w:p>
        </w:tc>
      </w:tr>
    </w:tbl>
    <w:p>
      <w:pPr>
        <w:spacing w:before="200"/>
      </w:pPr>
    </w:p>
    <w:p>
      <w:pPr>
        <w:pStyle w:val="Heading3"/>
        <w:spacing w:before="200" w:after="100"/>
      </w:pPr>
      <w:r>
        <w:rPr>
          <w:rFonts w:ascii="Arial" w:cs="Arial" w:eastAsia="Arial" w:hAnsi="Arial"/>
          <w:b/>
          <w:bCs/>
          <w:color w:val="202124"/>
          <w:sz w:val="24"/>
          <w:szCs w:val="24"/>
        </w:rPr>
        <w:t xml:space="preserve">Credit Decision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000"/>
        <w:gridCol w:w="3160"/>
      </w:tblGrid>
      <w:tr>
        <w:tc>
          <w:tcPr>
            <w:tcW w:type="dxa" w:w="14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FICO</w:t>
            </w:r>
          </w:p>
        </w:tc>
        <w:tc>
          <w:tcPr>
            <w:tcW w:type="dxa" w:w="14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DTI</w:t>
            </w:r>
          </w:p>
        </w:tc>
        <w:tc>
          <w:tcPr>
            <w:tcW w:type="dxa" w:w="14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LTV</w:t>
            </w:r>
          </w:p>
        </w:tc>
        <w:tc>
          <w:tcPr>
            <w:tcW w:type="dxa" w:w="2000"/>
            <w:tcBorders>
              <w:top w:val="single" w:color="0d4f8b" w:sz="2"/>
              <w:left w:val="single" w:color="0d4f8b" w:sz="2"/>
              <w:bottom w:val="single" w:color="0d4f8b" w:sz="2"/>
              <w:right w:val="single" w:color="0d4f8b" w:sz="2"/>
            </w:tcBorders>
            <w:shd w:fill="0d4f8b" w:val="clear"/>
            <w:vAlign w:val="center"/>
          </w:tcPr>
          <w:p>
            <w:pPr>
              <w:jc w:val="center"/>
            </w:pPr>
            <w:r>
              <w:rPr>
                <w:rFonts w:ascii="Arial" w:cs="Arial" w:eastAsia="Arial" w:hAnsi="Arial"/>
                <w:b/>
                <w:bCs/>
                <w:color w:val="ffffff"/>
                <w:sz w:val="20"/>
                <w:szCs w:val="20"/>
              </w:rPr>
              <w:t xml:space="preserve">Risk Tier</w:t>
            </w:r>
          </w:p>
        </w:tc>
        <w:tc>
          <w:tcPr>
            <w:tcW w:type="dxa" w:w="31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Decision</w:t>
            </w:r>
          </w:p>
        </w:tc>
      </w:tr>
      <w:tr>
        <w:tc>
          <w:tcPr>
            <w:tcW w:type="dxa" w:w="14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val="false"/>
                <w:bCs w:val="false"/>
                <w:color w:val="202124"/>
                <w:sz w:val="20"/>
                <w:szCs w:val="20"/>
              </w:rPr>
              <w:t xml:space="preserve">760+</w:t>
            </w:r>
          </w:p>
        </w:tc>
        <w:tc>
          <w:tcPr>
            <w:tcW w:type="dxa" w:w="14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val="false"/>
                <w:bCs w:val="false"/>
                <w:color w:val="202124"/>
                <w:sz w:val="20"/>
                <w:szCs w:val="20"/>
              </w:rPr>
              <w:t xml:space="preserve">&lt;36%</w:t>
            </w:r>
          </w:p>
        </w:tc>
        <w:tc>
          <w:tcPr>
            <w:tcW w:type="dxa" w:w="14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val="false"/>
                <w:bCs w:val="false"/>
                <w:color w:val="202124"/>
                <w:sz w:val="20"/>
                <w:szCs w:val="20"/>
              </w:rPr>
              <w:t xml:space="preserve">&lt;80%</w:t>
            </w:r>
          </w:p>
        </w:tc>
        <w:tc>
          <w:tcPr>
            <w:tcW w:type="dxa" w:w="20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val="false"/>
                <w:bCs w:val="false"/>
                <w:color w:val="202124"/>
                <w:sz w:val="20"/>
                <w:szCs w:val="20"/>
              </w:rPr>
              <w:t xml:space="preserve">A+ (Prime)</w:t>
            </w:r>
          </w:p>
        </w:tc>
        <w:tc>
          <w:tcPr>
            <w:tcW w:type="dxa" w:w="3160"/>
            <w:tcBorders>
              <w:top w:val="single" w:color="CCCCCC" w:sz="1"/>
              <w:left w:val="single" w:color="CCCCCC" w:sz="1"/>
              <w:bottom w:val="single" w:color="CCCCCC" w:sz="1"/>
              <w:right w:val="single" w:color="CCCCCC" w:sz="1"/>
            </w:tcBorders>
            <w:shd w:fill="e8f5e9" w:val="clear"/>
            <w:vAlign w:val="center"/>
          </w:tcPr>
          <w:p>
            <w:pPr>
              <w:jc w:val="left"/>
            </w:pPr>
            <w:r>
              <w:rPr>
                <w:rFonts w:ascii="Arial" w:cs="Arial" w:eastAsia="Arial" w:hAnsi="Arial"/>
                <w:b w:val="false"/>
                <w:bCs w:val="false"/>
                <w:color w:val="202124"/>
                <w:sz w:val="20"/>
                <w:szCs w:val="20"/>
              </w:rPr>
              <w:t xml:space="preserve">Auto-approve, best rate</w:t>
            </w:r>
          </w:p>
        </w:tc>
      </w:tr>
      <w:tr>
        <w:tc>
          <w:tcPr>
            <w:tcW w:type="dxa" w:w="14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700-759</w:t>
            </w:r>
          </w:p>
        </w:tc>
        <w:tc>
          <w:tcPr>
            <w:tcW w:type="dxa" w:w="14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36-43%</w:t>
            </w:r>
          </w:p>
        </w:tc>
        <w:tc>
          <w:tcPr>
            <w:tcW w:type="dxa" w:w="14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80-90%</w:t>
            </w:r>
          </w:p>
        </w:tc>
        <w:tc>
          <w:tcPr>
            <w:tcW w:type="dxa" w:w="2000"/>
            <w:tcBorders>
              <w:top w:val="single" w:color="CCCCCC" w:sz="1"/>
              <w:left w:val="single" w:color="CCCCCC" w:sz="1"/>
              <w:bottom w:val="single" w:color="CCCCCC" w:sz="1"/>
              <w:right w:val="single" w:color="CCCCCC" w:sz="1"/>
            </w:tcBorders>
            <w:shd w:fill="ffffff" w:val="clear"/>
            <w:vAlign w:val="center"/>
          </w:tcPr>
          <w:p>
            <w:pPr>
              <w:jc w:val="center"/>
            </w:pPr>
            <w:r>
              <w:rPr>
                <w:rFonts w:ascii="Arial" w:cs="Arial" w:eastAsia="Arial" w:hAnsi="Arial"/>
                <w:b w:val="false"/>
                <w:bCs w:val="false"/>
                <w:color w:val="202124"/>
                <w:sz w:val="20"/>
                <w:szCs w:val="20"/>
              </w:rPr>
              <w:t xml:space="preserve">A (Near Prime)</w:t>
            </w:r>
          </w:p>
        </w:tc>
        <w:tc>
          <w:tcPr>
            <w:tcW w:type="dxa" w:w="31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Approve, standard rate</w:t>
            </w:r>
          </w:p>
        </w:tc>
      </w:tr>
      <w:tr>
        <w:tc>
          <w:tcPr>
            <w:tcW w:type="dxa" w:w="14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val="false"/>
                <w:bCs w:val="false"/>
                <w:color w:val="202124"/>
                <w:sz w:val="20"/>
                <w:szCs w:val="20"/>
              </w:rPr>
              <w:t xml:space="preserve">660-699</w:t>
            </w:r>
          </w:p>
        </w:tc>
        <w:tc>
          <w:tcPr>
            <w:tcW w:type="dxa" w:w="14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val="false"/>
                <w:bCs w:val="false"/>
                <w:color w:val="202124"/>
                <w:sz w:val="20"/>
                <w:szCs w:val="20"/>
              </w:rPr>
              <w:t xml:space="preserve">43-50%</w:t>
            </w:r>
          </w:p>
        </w:tc>
        <w:tc>
          <w:tcPr>
            <w:tcW w:type="dxa" w:w="14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val="false"/>
                <w:bCs w:val="false"/>
                <w:color w:val="202124"/>
                <w:sz w:val="20"/>
                <w:szCs w:val="20"/>
              </w:rPr>
              <w:t xml:space="preserve">90-95%</w:t>
            </w:r>
          </w:p>
        </w:tc>
        <w:tc>
          <w:tcPr>
            <w:tcW w:type="dxa" w:w="20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val="false"/>
                <w:bCs w:val="false"/>
                <w:color w:val="202124"/>
                <w:sz w:val="20"/>
                <w:szCs w:val="20"/>
              </w:rPr>
              <w:t xml:space="preserve">B (Non-Prime)</w:t>
            </w:r>
          </w:p>
        </w:tc>
        <w:tc>
          <w:tcPr>
            <w:tcW w:type="dxa" w:w="3160"/>
            <w:tcBorders>
              <w:top w:val="single" w:color="CCCCCC" w:sz="1"/>
              <w:left w:val="single" w:color="CCCCCC" w:sz="1"/>
              <w:bottom w:val="single" w:color="CCCCCC" w:sz="1"/>
              <w:right w:val="single" w:color="CCCCCC" w:sz="1"/>
            </w:tcBorders>
            <w:shd w:fill="fff8e1" w:val="clear"/>
            <w:vAlign w:val="center"/>
          </w:tcPr>
          <w:p>
            <w:pPr>
              <w:jc w:val="left"/>
            </w:pPr>
            <w:r>
              <w:rPr>
                <w:rFonts w:ascii="Arial" w:cs="Arial" w:eastAsia="Arial" w:hAnsi="Arial"/>
                <w:b w:val="false"/>
                <w:bCs w:val="false"/>
                <w:color w:val="202124"/>
                <w:sz w:val="20"/>
                <w:szCs w:val="20"/>
              </w:rPr>
              <w:t xml:space="preserve">Review required, +0.5%</w:t>
            </w:r>
          </w:p>
        </w:tc>
      </w:tr>
      <w:tr>
        <w:tc>
          <w:tcPr>
            <w:tcW w:type="dxa" w:w="1400"/>
            <w:tcBorders>
              <w:top w:val="single" w:color="CCCCCC" w:sz="1"/>
              <w:left w:val="single" w:color="CCCCCC" w:sz="1"/>
              <w:bottom w:val="single" w:color="CCCCCC" w:sz="1"/>
              <w:right w:val="single" w:color="CCCCCC" w:sz="1"/>
            </w:tcBorders>
            <w:shd w:fill="ffe0b2" w:val="clear"/>
            <w:vAlign w:val="center"/>
          </w:tcPr>
          <w:p>
            <w:pPr>
              <w:jc w:val="center"/>
            </w:pPr>
            <w:r>
              <w:rPr>
                <w:rFonts w:ascii="Arial" w:cs="Arial" w:eastAsia="Arial" w:hAnsi="Arial"/>
                <w:b w:val="false"/>
                <w:bCs w:val="false"/>
                <w:color w:val="202124"/>
                <w:sz w:val="20"/>
                <w:szCs w:val="20"/>
              </w:rPr>
              <w:t xml:space="preserve">620-659</w:t>
            </w:r>
          </w:p>
        </w:tc>
        <w:tc>
          <w:tcPr>
            <w:tcW w:type="dxa" w:w="1400"/>
            <w:tcBorders>
              <w:top w:val="single" w:color="CCCCCC" w:sz="1"/>
              <w:left w:val="single" w:color="CCCCCC" w:sz="1"/>
              <w:bottom w:val="single" w:color="CCCCCC" w:sz="1"/>
              <w:right w:val="single" w:color="CCCCCC" w:sz="1"/>
            </w:tcBorders>
            <w:shd w:fill="ffe0b2" w:val="clear"/>
            <w:vAlign w:val="center"/>
          </w:tcPr>
          <w:p>
            <w:pPr>
              <w:jc w:val="center"/>
            </w:pPr>
            <w:r>
              <w:rPr>
                <w:rFonts w:ascii="Arial" w:cs="Arial" w:eastAsia="Arial" w:hAnsi="Arial"/>
                <w:b w:val="false"/>
                <w:bCs w:val="false"/>
                <w:color w:val="202124"/>
                <w:sz w:val="20"/>
                <w:szCs w:val="20"/>
              </w:rPr>
              <w:t xml:space="preserve">&gt;50%</w:t>
            </w:r>
          </w:p>
        </w:tc>
        <w:tc>
          <w:tcPr>
            <w:tcW w:type="dxa" w:w="1400"/>
            <w:tcBorders>
              <w:top w:val="single" w:color="CCCCCC" w:sz="1"/>
              <w:left w:val="single" w:color="CCCCCC" w:sz="1"/>
              <w:bottom w:val="single" w:color="CCCCCC" w:sz="1"/>
              <w:right w:val="single" w:color="CCCCCC" w:sz="1"/>
            </w:tcBorders>
            <w:shd w:fill="ffe0b2" w:val="clear"/>
            <w:vAlign w:val="center"/>
          </w:tcPr>
          <w:p>
            <w:pPr>
              <w:jc w:val="center"/>
            </w:pPr>
            <w:r>
              <w:rPr>
                <w:rFonts w:ascii="Arial" w:cs="Arial" w:eastAsia="Arial" w:hAnsi="Arial"/>
                <w:b w:val="false"/>
                <w:bCs w:val="false"/>
                <w:color w:val="202124"/>
                <w:sz w:val="20"/>
                <w:szCs w:val="20"/>
              </w:rPr>
              <w:t xml:space="preserve">&gt;95%</w:t>
            </w:r>
          </w:p>
        </w:tc>
        <w:tc>
          <w:tcPr>
            <w:tcW w:type="dxa" w:w="2000"/>
            <w:tcBorders>
              <w:top w:val="single" w:color="CCCCCC" w:sz="1"/>
              <w:left w:val="single" w:color="CCCCCC" w:sz="1"/>
              <w:bottom w:val="single" w:color="CCCCCC" w:sz="1"/>
              <w:right w:val="single" w:color="CCCCCC" w:sz="1"/>
            </w:tcBorders>
            <w:shd w:fill="ffe0b2" w:val="clear"/>
            <w:vAlign w:val="center"/>
          </w:tcPr>
          <w:p>
            <w:pPr>
              <w:jc w:val="center"/>
            </w:pPr>
            <w:r>
              <w:rPr>
                <w:rFonts w:ascii="Arial" w:cs="Arial" w:eastAsia="Arial" w:hAnsi="Arial"/>
                <w:b w:val="false"/>
                <w:bCs w:val="false"/>
                <w:color w:val="202124"/>
                <w:sz w:val="20"/>
                <w:szCs w:val="20"/>
              </w:rPr>
              <w:t xml:space="preserve">C (Subprime)</w:t>
            </w:r>
          </w:p>
        </w:tc>
        <w:tc>
          <w:tcPr>
            <w:tcW w:type="dxa" w:w="3160"/>
            <w:tcBorders>
              <w:top w:val="single" w:color="CCCCCC" w:sz="1"/>
              <w:left w:val="single" w:color="CCCCCC" w:sz="1"/>
              <w:bottom w:val="single" w:color="CCCCCC" w:sz="1"/>
              <w:right w:val="single" w:color="CCCCCC" w:sz="1"/>
            </w:tcBorders>
            <w:shd w:fill="ffe0b2" w:val="clear"/>
            <w:vAlign w:val="center"/>
          </w:tcPr>
          <w:p>
            <w:pPr>
              <w:jc w:val="left"/>
            </w:pPr>
            <w:r>
              <w:rPr>
                <w:rFonts w:ascii="Arial" w:cs="Arial" w:eastAsia="Arial" w:hAnsi="Arial"/>
                <w:b w:val="false"/>
                <w:bCs w:val="false"/>
                <w:color w:val="202124"/>
                <w:sz w:val="20"/>
                <w:szCs w:val="20"/>
              </w:rPr>
              <w:t xml:space="preserve">Senior review, +1.5%</w:t>
            </w:r>
          </w:p>
        </w:tc>
      </w:tr>
      <w:tr>
        <w:tc>
          <w:tcPr>
            <w:tcW w:type="dxa" w:w="14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&lt;620</w:t>
            </w:r>
          </w:p>
        </w:tc>
        <w:tc>
          <w:tcPr>
            <w:tcW w:type="dxa" w:w="14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Any</w:t>
            </w:r>
          </w:p>
        </w:tc>
        <w:tc>
          <w:tcPr>
            <w:tcW w:type="dxa" w:w="14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Any</w:t>
            </w:r>
          </w:p>
        </w:tc>
        <w:tc>
          <w:tcPr>
            <w:tcW w:type="dxa" w:w="20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val="false"/>
                <w:bCs w:val="false"/>
                <w:color w:val="202124"/>
                <w:sz w:val="20"/>
                <w:szCs w:val="20"/>
              </w:rPr>
              <w:t xml:space="preserve">D (High Risk)</w:t>
            </w:r>
          </w:p>
        </w:tc>
        <w:tc>
          <w:tcPr>
            <w:tcW w:type="dxa" w:w="3160"/>
            <w:tcBorders>
              <w:top w:val="single" w:color="CCCCCC" w:sz="1"/>
              <w:left w:val="single" w:color="CCCCCC" w:sz="1"/>
              <w:bottom w:val="single" w:color="CCCCCC" w:sz="1"/>
              <w:right w:val="single" w:color="CCCCCC" w:sz="1"/>
            </w:tcBorders>
            <w:shd w:fill="ffebee" w:val="clear"/>
            <w:vAlign w:val="center"/>
          </w:tcPr>
          <w:p>
            <w:pPr>
              <w:jc w:val="left"/>
            </w:pPr>
            <w:r>
              <w:rPr>
                <w:rFonts w:ascii="Arial" w:cs="Arial" w:eastAsia="Arial" w:hAnsi="Arial"/>
                <w:b w:val="false"/>
                <w:bCs w:val="false"/>
                <w:color w:val="202124"/>
                <w:sz w:val="20"/>
                <w:szCs w:val="20"/>
              </w:rPr>
              <w:t xml:space="preserve">Decline or alt program</w:t>
            </w:r>
          </w:p>
        </w:tc>
      </w:tr>
    </w:tbl>
    <w:p>
      <w:pPr>
        <w:spacing w:before="300"/>
      </w:pPr>
    </w:p>
    <w:p>
      <w:pPr>
        <w:pStyle w:val="Heading2"/>
        <w:spacing w:before="300" w:after="150"/>
      </w:pPr>
      <w:r>
        <w:rPr>
          <w:rFonts w:ascii="Arial" w:cs="Arial" w:eastAsia="Arial" w:hAnsi="Arial"/>
          <w:b/>
          <w:bCs/>
          <w:color w:val="1a73e8"/>
          <w:sz w:val="28"/>
          <w:szCs w:val="28"/>
        </w:rPr>
        <w:t xml:space="preserve">4.2 KYC/AML Agent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Attribute</w:t>
            </w:r>
          </w:p>
        </w:tc>
        <w:tc>
          <w:tcPr>
            <w:tcW w:type="dxa" w:w="696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Agent ID</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jai-kyc-aml-agent-v2.0.0</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Domain</w:t>
            </w:r>
          </w:p>
        </w:tc>
        <w:tc>
          <w:tcPr>
            <w:tcW w:type="dxa" w:w="696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Know Your Customer &amp; Anti-Money Laundering</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Trust Level</w:t>
            </w:r>
          </w:p>
        </w:tc>
        <w:tc>
          <w:tcPr>
            <w:tcW w:type="dxa" w:w="696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LEVEL_3 (verify, flag, recommend)</w:t>
            </w:r>
          </w:p>
        </w:tc>
      </w:tr>
    </w:tbl>
    <w:p>
      <w:pPr>
        <w:pStyle w:val="ListParagraph"/>
        <w:numPr>
          <w:ilvl w:val="0"/>
          <w:numId w:val="2"/>
        </w:numPr>
      </w:pPr>
      <w:r>
        <w:rPr>
          <w:rFonts w:ascii="Arial" w:cs="Arial" w:eastAsia="Arial" w:hAnsi="Arial"/>
          <w:sz w:val="22"/>
          <w:szCs w:val="22"/>
        </w:rPr>
        <w:t xml:space="preserve">Identity Verification: Document, biometric, database validation</w:t>
      </w:r>
    </w:p>
    <w:p>
      <w:pPr>
        <w:pStyle w:val="ListParagraph"/>
        <w:numPr>
          <w:ilvl w:val="0"/>
          <w:numId w:val="2"/>
        </w:numPr>
      </w:pPr>
      <w:r>
        <w:rPr>
          <w:rFonts w:ascii="Arial" w:cs="Arial" w:eastAsia="Arial" w:hAnsi="Arial"/>
          <w:sz w:val="22"/>
          <w:szCs w:val="22"/>
        </w:rPr>
        <w:t xml:space="preserve">Watchlist Screening: OFAC SDN, PEP, adverse media</w:t>
      </w:r>
    </w:p>
    <w:p>
      <w:pPr>
        <w:pStyle w:val="ListParagraph"/>
        <w:numPr>
          <w:ilvl w:val="0"/>
          <w:numId w:val="2"/>
        </w:numPr>
      </w:pPr>
      <w:r>
        <w:rPr>
          <w:rFonts w:ascii="Arial" w:cs="Arial" w:eastAsia="Arial" w:hAnsi="Arial"/>
          <w:sz w:val="22"/>
          <w:szCs w:val="22"/>
        </w:rPr>
        <w:t xml:space="preserve">Transaction Monitoring: Suspicious activity, structuring patterns</w:t>
      </w:r>
    </w:p>
    <w:p>
      <w:r>
        <w:br w:type="page"/>
      </w:r>
    </w:p>
    <w:p>
      <w:pPr>
        <w:pStyle w:val="Heading1"/>
        <w:spacing w:before="400" w:after="200"/>
      </w:pPr>
      <w:r>
        <w:rPr>
          <w:rFonts w:ascii="Arial" w:cs="Arial" w:eastAsia="Arial" w:hAnsi="Arial"/>
          <w:b/>
          <w:bCs/>
          <w:color w:val="0d4f8b"/>
          <w:sz w:val="36"/>
          <w:szCs w:val="36"/>
        </w:rPr>
        <w:t xml:space="preserve">5. Knowledge Graph Integration</w:t>
      </w:r>
    </w:p>
    <w:p>
      <w:pPr>
        <w:spacing w:before="100" w:after="100"/>
        <w:jc w:val="left"/>
      </w:pPr>
      <w:r>
        <w:rPr>
          <w:rFonts w:ascii="Arial" w:cs="Arial" w:eastAsia="Arial" w:hAnsi="Arial"/>
          <w:color w:val="202124"/>
          <w:sz w:val="22"/>
          <w:szCs w:val="22"/>
        </w:rPr>
        <w:t xml:space="preserve">The Knowledge Graph is the central nervous system of jAI, enabling relationship-aware reasoning.</w:t>
      </w:r>
    </w:p>
    <w:p>
      <w:pPr>
        <w:spacing w:before="300"/>
      </w:pPr>
    </w:p>
    <w:p>
      <w:pPr>
        <w:pStyle w:val="Heading2"/>
        <w:spacing w:before="300" w:after="150"/>
      </w:pPr>
      <w:r>
        <w:rPr>
          <w:rFonts w:ascii="Arial" w:cs="Arial" w:eastAsia="Arial" w:hAnsi="Arial"/>
          <w:b/>
          <w:bCs/>
          <w:color w:val="1a73e8"/>
          <w:sz w:val="28"/>
          <w:szCs w:val="28"/>
        </w:rPr>
        <w:t xml:space="preserve">5.1 Insurance Knowledge Graph Schema</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INSURANCE KNOWLEDGE GRAPH SCHEMA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CUSTOMER   │                              │</w:t>
      </w:r>
    </w:p>
    <w:p>
      <w:pPr>
        <w:spacing w:before="0" w:after="0"/>
      </w:pPr>
      <w:r>
        <w:rPr>
          <w:rFonts w:ascii="Courier New" w:cs="Courier New" w:eastAsia="Courier New" w:hAnsi="Courier New"/>
          <w:color w:val="202124"/>
          <w:sz w:val="15"/>
          <w:szCs w:val="15"/>
        </w:rPr>
        <w:t xml:space="preserve">│                           │ id, name     │                              │</w:t>
      </w:r>
    </w:p>
    <w:p>
      <w:pPr>
        <w:spacing w:before="0" w:after="0"/>
      </w:pPr>
      <w:r>
        <w:rPr>
          <w:rFonts w:ascii="Courier New" w:cs="Courier New" w:eastAsia="Courier New" w:hAnsi="Courier New"/>
          <w:color w:val="202124"/>
          <w:sz w:val="15"/>
          <w:szCs w:val="15"/>
        </w:rPr>
        <w:t xml:space="preserve">│                           │ risk_score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OWNS        │ FILED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VEHICLE    │       │      │    CLAIM     │                │</w:t>
      </w:r>
    </w:p>
    <w:p>
      <w:pPr>
        <w:spacing w:before="0" w:after="0"/>
      </w:pPr>
      <w:r>
        <w:rPr>
          <w:rFonts w:ascii="Courier New" w:cs="Courier New" w:eastAsia="Courier New" w:hAnsi="Courier New"/>
          <w:color w:val="202124"/>
          <w:sz w:val="15"/>
          <w:szCs w:val="15"/>
        </w:rPr>
        <w:t xml:space="preserve">│           │ vin, make    │       │      │ id, status   │                │</w:t>
      </w:r>
    </w:p>
    <w:p>
      <w:pPr>
        <w:spacing w:before="0" w:after="0"/>
      </w:pPr>
      <w:r>
        <w:rPr>
          <w:rFonts w:ascii="Courier New" w:cs="Courier New" w:eastAsia="Courier New" w:hAnsi="Courier New"/>
          <w:color w:val="202124"/>
          <w:sz w:val="15"/>
          <w:szCs w:val="15"/>
        </w:rPr>
        <w:t xml:space="preserve">│           │ model, year  │       │      │ amount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INSURED_BY             │             │ INVOLVES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POLICY     │ COVERS       │  REGULATION  │                │</w:t>
      </w:r>
    </w:p>
    <w:p>
      <w:pPr>
        <w:spacing w:before="0" w:after="0"/>
      </w:pPr>
      <w:r>
        <w:rPr>
          <w:rFonts w:ascii="Courier New" w:cs="Courier New" w:eastAsia="Courier New" w:hAnsi="Courier New"/>
          <w:color w:val="202124"/>
          <w:sz w:val="15"/>
          <w:szCs w:val="15"/>
        </w:rPr>
        <w:t xml:space="preserve">│           │ id, type     │              │ code, juris  │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INCLUDES│                            ▲                        │</w:t>
      </w:r>
    </w:p>
    <w:p>
      <w:pPr>
        <w:spacing w:before="0" w:after="0"/>
      </w:pPr>
      <w:r>
        <w:rPr>
          <w:rFonts w:ascii="Courier New" w:cs="Courier New" w:eastAsia="Courier New" w:hAnsi="Courier New"/>
          <w:color w:val="202124"/>
          <w:sz w:val="15"/>
          <w:szCs w:val="15"/>
        </w:rPr>
        <w:t xml:space="preserve">│                  ▼                             │ SUBJECT_TO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COVERAGE   │                                              │</w:t>
      </w:r>
    </w:p>
    <w:p>
      <w:pPr>
        <w:spacing w:before="0" w:after="0"/>
      </w:pPr>
      <w:r>
        <w:rPr>
          <w:rFonts w:ascii="Courier New" w:cs="Courier New" w:eastAsia="Courier New" w:hAnsi="Courier New"/>
          <w:color w:val="202124"/>
          <w:sz w:val="15"/>
          <w:szCs w:val="15"/>
        </w:rPr>
        <w:t xml:space="preserve">│           │ type, limit  │                                              │</w:t>
      </w:r>
    </w:p>
    <w:p>
      <w:pPr>
        <w:spacing w:before="0" w:after="0"/>
      </w:pPr>
      <w:r>
        <w:rPr>
          <w:rFonts w:ascii="Courier New" w:cs="Courier New" w:eastAsia="Courier New" w:hAnsi="Courier New"/>
          <w:color w:val="202124"/>
          <w:sz w:val="15"/>
          <w:szCs w:val="15"/>
        </w:rPr>
        <w:t xml:space="preserve">│           │ deductible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w:t>
      </w:r>
    </w:p>
    <w:p>
      <w:pPr>
        <w:spacing w:before="300"/>
      </w:pPr>
    </w:p>
    <w:p>
      <w:pPr>
        <w:pStyle w:val="Heading2"/>
        <w:spacing w:before="300" w:after="150"/>
      </w:pPr>
      <w:r>
        <w:rPr>
          <w:rFonts w:ascii="Arial" w:cs="Arial" w:eastAsia="Arial" w:hAnsi="Arial"/>
          <w:b/>
          <w:bCs/>
          <w:color w:val="1a73e8"/>
          <w:sz w:val="28"/>
          <w:szCs w:val="28"/>
        </w:rPr>
        <w:t xml:space="preserve">5.2 Banking Knowledge Graph Schema</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BANKING KNOWLEDGE GRAPH SCHEMA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BORROWER   │                              │</w:t>
      </w:r>
    </w:p>
    <w:p>
      <w:pPr>
        <w:spacing w:before="0" w:after="0"/>
      </w:pPr>
      <w:r>
        <w:rPr>
          <w:rFonts w:ascii="Courier New" w:cs="Courier New" w:eastAsia="Courier New" w:hAnsi="Courier New"/>
          <w:color w:val="202124"/>
          <w:sz w:val="15"/>
          <w:szCs w:val="15"/>
        </w:rPr>
        <w:t xml:space="preserve">│                           │ id, name     │                              │</w:t>
      </w:r>
    </w:p>
    <w:p>
      <w:pPr>
        <w:spacing w:before="0" w:after="0"/>
      </w:pPr>
      <w:r>
        <w:rPr>
          <w:rFonts w:ascii="Courier New" w:cs="Courier New" w:eastAsia="Courier New" w:hAnsi="Courier New"/>
          <w:color w:val="202124"/>
          <w:sz w:val="15"/>
          <w:szCs w:val="15"/>
        </w:rPr>
        <w:t xml:space="preserve">│                           │ income, score│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HAS         │ APPLIED_FOR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ACCOUNT    │       │      │     LOAN     │                │</w:t>
      </w:r>
    </w:p>
    <w:p>
      <w:pPr>
        <w:spacing w:before="0" w:after="0"/>
      </w:pPr>
      <w:r>
        <w:rPr>
          <w:rFonts w:ascii="Courier New" w:cs="Courier New" w:eastAsia="Courier New" w:hAnsi="Courier New"/>
          <w:color w:val="202124"/>
          <w:sz w:val="15"/>
          <w:szCs w:val="15"/>
        </w:rPr>
        <w:t xml:space="preserve">│           │ id, type     │       │      │ amount, rate │                │</w:t>
      </w:r>
    </w:p>
    <w:p>
      <w:pPr>
        <w:spacing w:before="0" w:after="0"/>
      </w:pPr>
      <w:r>
        <w:rPr>
          <w:rFonts w:ascii="Courier New" w:cs="Courier New" w:eastAsia="Courier New" w:hAnsi="Courier New"/>
          <w:color w:val="202124"/>
          <w:sz w:val="15"/>
          <w:szCs w:val="15"/>
        </w:rPr>
        <w:t xml:space="preserve">│           │ balance      │       │      │ status       │                │</w:t>
      </w:r>
    </w:p>
    <w:p>
      <w:pPr>
        <w:spacing w:before="0" w:after="0"/>
      </w:pPr>
      <w:r>
        <w:rPr>
          <w:rFonts w:ascii="Courier New" w:cs="Courier New" w:eastAsia="Courier New" w:hAnsi="Courier New"/>
          <w:color w:val="202124"/>
          <w:sz w:val="15"/>
          <w:szCs w:val="15"/>
        </w:rPr>
        <w:t xml:space="preserve">│           └──────────────┘       │      └──────┬───────┘                │</w:t>
      </w:r>
    </w:p>
    <w:p>
      <w:pPr>
        <w:spacing w:before="0" w:after="0"/>
      </w:pPr>
      <w:r>
        <w:rPr>
          <w:rFonts w:ascii="Courier New" w:cs="Courier New" w:eastAsia="Courier New" w:hAnsi="Courier New"/>
          <w:color w:val="202124"/>
          <w:sz w:val="15"/>
          <w:szCs w:val="15"/>
        </w:rPr>
        <w:t xml:space="preserve">│                                  │             │ SECURED_BY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│CREDIT_REPORT │              ┌──────────────┐                │</w:t>
      </w:r>
    </w:p>
    <w:p>
      <w:pPr>
        <w:spacing w:before="0" w:after="0"/>
      </w:pPr>
      <w:r>
        <w:rPr>
          <w:rFonts w:ascii="Courier New" w:cs="Courier New" w:eastAsia="Courier New" w:hAnsi="Courier New"/>
          <w:color w:val="202124"/>
          <w:sz w:val="15"/>
          <w:szCs w:val="15"/>
        </w:rPr>
        <w:t xml:space="preserve">│           │ score, dti   │              │  COLLATERAL  │                │</w:t>
      </w:r>
    </w:p>
    <w:p>
      <w:pPr>
        <w:spacing w:before="0" w:after="0"/>
      </w:pPr>
      <w:r>
        <w:rPr>
          <w:rFonts w:ascii="Courier New" w:cs="Courier New" w:eastAsia="Courier New" w:hAnsi="Courier New"/>
          <w:color w:val="202124"/>
          <w:sz w:val="15"/>
          <w:szCs w:val="15"/>
        </w:rPr>
        <w:t xml:space="preserve">│           │ history      │              │ type, value  │                │</w:t>
      </w:r>
    </w:p>
    <w:p>
      <w:pPr>
        <w:spacing w:before="0" w:after="0"/>
      </w:pPr>
      <w:r>
        <w:rPr>
          <w:rFonts w:ascii="Courier New" w:cs="Courier New" w:eastAsia="Courier New" w:hAnsi="Courier New"/>
          <w:color w:val="202124"/>
          <w:sz w:val="15"/>
          <w:szCs w:val="15"/>
        </w:rPr>
        <w:t xml:space="preserve">│           └──────┬───────┘              │ ltv_ratio    │                │</w:t>
      </w:r>
    </w:p>
    <w:p>
      <w:pPr>
        <w:spacing w:before="0" w:after="0"/>
      </w:pPr>
      <w:r>
        <w:rPr>
          <w:rFonts w:ascii="Courier New" w:cs="Courier New" w:eastAsia="Courier New" w:hAnsi="Courier New"/>
          <w:color w:val="202124"/>
          <w:sz w:val="15"/>
          <w:szCs w:val="15"/>
        </w:rPr>
        <w:t xml:space="preserve">│           DETERMINES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           │     RATE     │◄───────────│  REGULATION  │                  │</w:t>
      </w:r>
    </w:p>
    <w:p>
      <w:pPr>
        <w:spacing w:before="0" w:after="0"/>
      </w:pPr>
      <w:r>
        <w:rPr>
          <w:rFonts w:ascii="Courier New" w:cs="Courier New" w:eastAsia="Courier New" w:hAnsi="Courier New"/>
          <w:color w:val="202124"/>
          <w:sz w:val="15"/>
          <w:szCs w:val="15"/>
        </w:rPr>
        <w:t xml:space="preserve">│           │ tier, apr    │ GOVERNS    │ TILA, RESPA  │                  │</w:t>
      </w:r>
    </w:p>
    <w:p>
      <w:pPr>
        <w:spacing w:before="0" w:after="0"/>
      </w:pPr>
      <w:r>
        <w:rPr>
          <w:rFonts w:ascii="Courier New" w:cs="Courier New" w:eastAsia="Courier New" w:hAnsi="Courier New"/>
          <w:color w:val="202124"/>
          <w:sz w:val="15"/>
          <w:szCs w:val="15"/>
        </w:rPr>
        <w:t xml:space="preserve">│           │ terms        │            │ Fair Lending │                  │</w:t>
      </w:r>
    </w:p>
    <w:p>
      <w:pPr>
        <w:spacing w:before="0" w:after="0"/>
      </w:pPr>
      <w:r>
        <w:rPr>
          <w:rFonts w:ascii="Courier New" w:cs="Courier New" w:eastAsia="Courier New" w:hAnsi="Courier New"/>
          <w:color w:val="202124"/>
          <w:sz w:val="15"/>
          <w:szCs w:val="15"/>
        </w:rPr>
        <w:t xml:space="preserve">│           └──────────────┘            └──────────────┘                  │</w:t>
      </w:r>
    </w:p>
    <w:p>
      <w:pPr>
        <w:spacing w:before="0" w:after="0"/>
      </w:pPr>
      <w:r>
        <w:rPr>
          <w:rFonts w:ascii="Courier New" w:cs="Courier New" w:eastAsia="Courier New" w:hAnsi="Courier New"/>
          <w:color w:val="202124"/>
          <w:sz w:val="15"/>
          <w:szCs w:val="15"/>
        </w:rPr>
        <w:t xml:space="preserve">└─────────────────────────────────────────────────────────────────────────┘</w:t>
      </w:r>
    </w:p>
    <w:p>
      <w:r>
        <w:br w:type="page"/>
      </w:r>
    </w:p>
    <w:p>
      <w:pPr>
        <w:pStyle w:val="Heading1"/>
        <w:spacing w:before="400" w:after="200"/>
      </w:pPr>
      <w:r>
        <w:rPr>
          <w:rFonts w:ascii="Arial" w:cs="Arial" w:eastAsia="Arial" w:hAnsi="Arial"/>
          <w:b/>
          <w:bCs/>
          <w:color w:val="0d4f8b"/>
          <w:sz w:val="36"/>
          <w:szCs w:val="36"/>
        </w:rPr>
        <w:t xml:space="preserve">6. Agent Interaction Diagrams</w:t>
      </w:r>
    </w:p>
    <w:p>
      <w:pPr>
        <w:spacing w:before="100" w:after="100"/>
        <w:jc w:val="left"/>
      </w:pPr>
      <w:r>
        <w:rPr>
          <w:rFonts w:ascii="Arial" w:cs="Arial" w:eastAsia="Arial" w:hAnsi="Arial"/>
          <w:color w:val="202124"/>
          <w:sz w:val="22"/>
          <w:szCs w:val="22"/>
        </w:rPr>
        <w:t xml:space="preserve">Visualization of how jAI agents collaborate to process complex enterprise workflows.</w:t>
      </w:r>
    </w:p>
    <w:p>
      <w:pPr>
        <w:spacing w:before="300"/>
      </w:pPr>
    </w:p>
    <w:p>
      <w:pPr>
        <w:pStyle w:val="Heading2"/>
        <w:spacing w:before="300" w:after="150"/>
      </w:pPr>
      <w:r>
        <w:rPr>
          <w:rFonts w:ascii="Arial" w:cs="Arial" w:eastAsia="Arial" w:hAnsi="Arial"/>
          <w:b/>
          <w:bCs/>
          <w:color w:val="1a73e8"/>
          <w:sz w:val="28"/>
          <w:szCs w:val="28"/>
        </w:rPr>
        <w:t xml:space="preserve">6.1 Insurance Claims Processing Flow</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INSURANCE CLAIMS PROCESSING FLOW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ADJUSTER: "Process claim #AC-2024-78542"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ORCHESTRATOR │ ─────── Parallel dispatch via A2A Hub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│CLAIMS│   │FRAUD │     │COMPLY│     │ DOC  │                         │</w:t>
      </w:r>
    </w:p>
    <w:p>
      <w:pPr>
        <w:spacing w:before="0" w:after="0"/>
      </w:pPr>
      <w:r>
        <w:rPr>
          <w:rFonts w:ascii="Courier New" w:cs="Courier New" w:eastAsia="Courier New" w:hAnsi="Courier New"/>
          <w:color w:val="202124"/>
          <w:sz w:val="15"/>
          <w:szCs w:val="15"/>
        </w:rPr>
        <w:t xml:space="preserve">│ │AGENT │   │AGENT │     │AGENT │     │AGENT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│Policy:   │Risk:       │Status:     │Extract:                     │</w:t>
      </w:r>
    </w:p>
    <w:p>
      <w:pPr>
        <w:spacing w:before="0" w:after="0"/>
      </w:pPr>
      <w:r>
        <w:rPr>
          <w:rFonts w:ascii="Courier New" w:cs="Courier New" w:eastAsia="Courier New" w:hAnsi="Courier New"/>
          <w:color w:val="202124"/>
          <w:sz w:val="15"/>
          <w:szCs w:val="15"/>
        </w:rPr>
        <w:t xml:space="preserve">│    │ACTIVE    │0.12 (LOW)  │COMPLIANT   │$48K est.                    │</w:t>
      </w:r>
    </w:p>
    <w:p>
      <w:pPr>
        <w:spacing w:before="0" w:after="0"/>
      </w:pPr>
      <w:r>
        <w:rPr>
          <w:rFonts w:ascii="Courier New" w:cs="Courier New" w:eastAsia="Courier New" w:hAnsi="Courier New"/>
          <w:color w:val="202124"/>
          <w:sz w:val="15"/>
          <w:szCs w:val="15"/>
        </w:rPr>
        <w:t xml:space="preserve">│    │Coverage: │No patterns │FL §627.428 │Photos OK                    │</w:t>
      </w:r>
    </w:p>
    <w:p>
      <w:pPr>
        <w:spacing w:before="0" w:after="0"/>
      </w:pPr>
      <w:r>
        <w:rPr>
          <w:rFonts w:ascii="Courier New" w:cs="Courier New" w:eastAsia="Courier New" w:hAnsi="Courier New"/>
          <w:color w:val="202124"/>
          <w:sz w:val="15"/>
          <w:szCs w:val="15"/>
        </w:rPr>
        <w:t xml:space="preserve">│    │COLLISION │found       │met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REFLECTION   │ ← Quality check: Confidence 94%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ORCHESTRATOR │ ← Final decision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RESULT: APPROVED | $47,500 settlement | Time: 4.2 seconds             │</w:t>
      </w:r>
    </w:p>
    <w:p>
      <w:pPr>
        <w:spacing w:before="0" w:after="0"/>
      </w:pPr>
      <w:r>
        <w:rPr>
          <w:rFonts w:ascii="Courier New" w:cs="Courier New" w:eastAsia="Courier New" w:hAnsi="Courier New"/>
          <w:color w:val="202124"/>
          <w:sz w:val="15"/>
          <w:szCs w:val="15"/>
        </w:rPr>
        <w:t xml:space="preserve">└─────────────────────────────────────────────────────────────────────────┘</w:t>
      </w:r>
    </w:p>
    <w:p>
      <w:pPr>
        <w:spacing w:before="300"/>
      </w:pPr>
    </w:p>
    <w:p>
      <w:pPr>
        <w:pStyle w:val="Heading2"/>
        <w:spacing w:before="300" w:after="150"/>
      </w:pPr>
      <w:r>
        <w:rPr>
          <w:rFonts w:ascii="Arial" w:cs="Arial" w:eastAsia="Arial" w:hAnsi="Arial"/>
          <w:b/>
          <w:bCs/>
          <w:color w:val="1a73e8"/>
          <w:sz w:val="28"/>
          <w:szCs w:val="28"/>
        </w:rPr>
        <w:t xml:space="preserve">6.2 Banking Loan Origination Flow</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LOAN ORIGINATION FLOW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LOAN OFFICER: "Process mortgage ML-2024-15678 for $450,000"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Parallel dispatch                            │</w:t>
      </w:r>
    </w:p>
    <w:p>
      <w:pPr>
        <w:spacing w:before="0" w:after="0"/>
      </w:pPr>
      <w:r>
        <w:rPr>
          <w:rFonts w:ascii="Courier New" w:cs="Courier New" w:eastAsia="Courier New" w:hAnsi="Courier New"/>
          <w:color w:val="202124"/>
          <w:sz w:val="15"/>
          <w:szCs w:val="15"/>
        </w:rPr>
        <w:t xml:space="preserve">│  │ ORCHESTRATOR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DOC  │   │CREDIT│     │ KYC  │     │FRAUD │                         │</w:t>
      </w:r>
    </w:p>
    <w:p>
      <w:pPr>
        <w:spacing w:before="0" w:after="0"/>
      </w:pPr>
      <w:r>
        <w:rPr>
          <w:rFonts w:ascii="Courier New" w:cs="Courier New" w:eastAsia="Courier New" w:hAnsi="Courier New"/>
          <w:color w:val="202124"/>
          <w:sz w:val="15"/>
          <w:szCs w:val="15"/>
        </w:rPr>
        <w:t xml:space="preserve">│ │AGENT │   │AGENT │     │AGENT │     │AGENT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│Income:   │Score: 742  │Status:     │Risk:                        │</w:t>
      </w:r>
    </w:p>
    <w:p>
      <w:pPr>
        <w:spacing w:before="0" w:after="0"/>
      </w:pPr>
      <w:r>
        <w:rPr>
          <w:rFonts w:ascii="Courier New" w:cs="Courier New" w:eastAsia="Courier New" w:hAnsi="Courier New"/>
          <w:color w:val="202124"/>
          <w:sz w:val="15"/>
          <w:szCs w:val="15"/>
        </w:rPr>
        <w:t xml:space="preserve">│    │$125K     │DTI: 32%    │VERIFIED    │0.08 (LOW)                   │</w:t>
      </w:r>
    </w:p>
    <w:p>
      <w:pPr>
        <w:spacing w:before="0" w:after="0"/>
      </w:pPr>
      <w:r>
        <w:rPr>
          <w:rFonts w:ascii="Courier New" w:cs="Courier New" w:eastAsia="Courier New" w:hAnsi="Courier New"/>
          <w:color w:val="202124"/>
          <w:sz w:val="15"/>
          <w:szCs w:val="15"/>
        </w:rPr>
        <w:t xml:space="preserve">│    │Verified  │History: A+ │OFAC: Clear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RISK      │ ← Risk Score: 78/100 (Low)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PRICING    │ ← 30yr: 6.25% | 15yr: 5.75%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ORCHESTRATOR │ ← Final decision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RESULT: APPROVED | 6.25% 30-year fixed | Time: 8.7 seconds            │</w:t>
      </w:r>
    </w:p>
    <w:p>
      <w:pPr>
        <w:spacing w:before="0" w:after="0"/>
      </w:pPr>
      <w:r>
        <w:rPr>
          <w:rFonts w:ascii="Courier New" w:cs="Courier New" w:eastAsia="Courier New" w:hAnsi="Courier New"/>
          <w:color w:val="202124"/>
          <w:sz w:val="15"/>
          <w:szCs w:val="15"/>
        </w:rPr>
        <w:t xml:space="preserve">└─────────────────────────────────────────────────────────────────────────┘</w:t>
      </w:r>
    </w:p>
    <w:p>
      <w:r>
        <w:br w:type="page"/>
      </w:r>
    </w:p>
    <w:p>
      <w:pPr>
        <w:pStyle w:val="Heading1"/>
        <w:spacing w:before="400" w:after="200"/>
      </w:pPr>
      <w:r>
        <w:rPr>
          <w:rFonts w:ascii="Arial" w:cs="Arial" w:eastAsia="Arial" w:hAnsi="Arial"/>
          <w:b/>
          <w:bCs/>
          <w:color w:val="0d4f8b"/>
          <w:sz w:val="36"/>
          <w:szCs w:val="36"/>
        </w:rPr>
        <w:t xml:space="preserve">7. Implementation Blueprint</w:t>
      </w:r>
    </w:p>
    <w:p>
      <w:pPr>
        <w:spacing w:before="100" w:after="100"/>
        <w:jc w:val="left"/>
      </w:pPr>
      <w:r>
        <w:rPr>
          <w:rFonts w:ascii="Arial" w:cs="Arial" w:eastAsia="Arial" w:hAnsi="Arial"/>
          <w:color w:val="202124"/>
          <w:sz w:val="22"/>
          <w:szCs w:val="22"/>
        </w:rPr>
        <w:t xml:space="preserve">Technical architecture and deployment specifications for production jAI agent deployment.</w:t>
      </w:r>
    </w:p>
    <w:p>
      <w:pPr>
        <w:spacing w:before="300"/>
      </w:pPr>
    </w:p>
    <w:p>
      <w:pPr>
        <w:pStyle w:val="Heading2"/>
        <w:spacing w:before="300" w:after="150"/>
      </w:pPr>
      <w:r>
        <w:rPr>
          <w:rFonts w:ascii="Arial" w:cs="Arial" w:eastAsia="Arial" w:hAnsi="Arial"/>
          <w:b/>
          <w:bCs/>
          <w:color w:val="1a73e8"/>
          <w:sz w:val="28"/>
          <w:szCs w:val="28"/>
        </w:rPr>
        <w:t xml:space="preserve">7.1 Agent Runtime Architecture</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jAI AGENT RUNTIME ARCHITECTURE                       │</w:t>
      </w:r>
    </w:p>
    <w:p>
      <w:pPr>
        <w:spacing w:before="0" w:after="0"/>
      </w:pPr>
      <w:r>
        <w:rPr>
          <w:rFonts w:ascii="Courier New" w:cs="Courier New" w:eastAsia="Courier New" w:hAnsi="Courier New"/>
          <w:color w:val="202124"/>
          <w:sz w:val="15"/>
          <w:szCs w:val="15"/>
        </w:rPr>
        <w:t xml:space="preserve">├─────────────────────────────────────────────────────────────────────────┤</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AGENT CONTAINER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   Identity  │  │  Cognitive  │  │  Knowledge  │             │   │</w:t>
      </w:r>
    </w:p>
    <w:p>
      <w:pPr>
        <w:spacing w:before="0" w:after="0"/>
      </w:pPr>
      <w:r>
        <w:rPr>
          <w:rFonts w:ascii="Courier New" w:cs="Courier New" w:eastAsia="Courier New" w:hAnsi="Courier New"/>
          <w:color w:val="202124"/>
          <w:sz w:val="15"/>
          <w:szCs w:val="15"/>
        </w:rPr>
        <w:t xml:space="preserve">│  │   │   Manager   │  │   Engine    │  │  Connector  │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    Tool     │  │   Memory    │  │  Guardrails │             │   │</w:t>
      </w:r>
    </w:p>
    <w:p>
      <w:pPr>
        <w:spacing w:before="0" w:after="0"/>
      </w:pPr>
      <w:r>
        <w:rPr>
          <w:rFonts w:ascii="Courier New" w:cs="Courier New" w:eastAsia="Courier New" w:hAnsi="Courier New"/>
          <w:color w:val="202124"/>
          <w:sz w:val="15"/>
          <w:szCs w:val="15"/>
        </w:rPr>
        <w:t xml:space="preserve">│  │   │  Executor   │  │   Manager   │  │   Engine    │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    A2A      │  │  Learning   │  │ Observability             │   │</w:t>
      </w:r>
    </w:p>
    <w:p>
      <w:pPr>
        <w:spacing w:before="0" w:after="0"/>
      </w:pPr>
      <w:r>
        <w:rPr>
          <w:rFonts w:ascii="Courier New" w:cs="Courier New" w:eastAsia="Courier New" w:hAnsi="Courier New"/>
          <w:color w:val="202124"/>
          <w:sz w:val="15"/>
          <w:szCs w:val="15"/>
        </w:rPr>
        <w:t xml:space="preserve">│  │   │  Protocol   │  │   Module    │  │  Collector  │             │   │</w:t>
      </w:r>
    </w:p>
    <w:p>
      <w:pPr>
        <w:spacing w:before="0" w:after="0"/>
      </w:pPr>
      <w:r>
        <w:rPr>
          <w:rFonts w:ascii="Courier New" w:cs="Courier New" w:eastAsia="Courier New" w:hAnsi="Courier New"/>
          <w:color w:val="202124"/>
          <w:sz w:val="15"/>
          <w:szCs w:val="15"/>
        </w:rPr>
        <w:t xml:space="preserve">│  │   └─────────────┘  └─────────────┘  └─────────────┘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   MCP GATEWAY   │   │    A2A HUB      │   │   KNOWLEDGE     ││ │</w:t>
      </w:r>
    </w:p>
    <w:p>
      <w:pPr>
        <w:spacing w:before="0" w:after="0"/>
      </w:pPr>
      <w:r>
        <w:rPr>
          <w:rFonts w:ascii="Courier New" w:cs="Courier New" w:eastAsia="Courier New" w:hAnsi="Courier New"/>
          <w:color w:val="202124"/>
          <w:sz w:val="15"/>
          <w:szCs w:val="15"/>
        </w:rPr>
        <w:t xml:space="preserve">│  │   │  Tool Servers   │   │  Agent Registry │   │   PLATFORM      ││ │</w:t>
      </w:r>
    </w:p>
    <w:p>
      <w:pPr>
        <w:spacing w:before="0" w:after="0"/>
      </w:pPr>
      <w:r>
        <w:rPr>
          <w:rFonts w:ascii="Courier New" w:cs="Courier New" w:eastAsia="Courier New" w:hAnsi="Courier New"/>
          <w:color w:val="202124"/>
          <w:sz w:val="15"/>
          <w:szCs w:val="15"/>
        </w:rPr>
        <w:t xml:space="preserve">│  │   │  Enterprise     │   │  Task Router    │   │  Vector DB      ││ │</w:t>
      </w:r>
    </w:p>
    <w:p>
      <w:pPr>
        <w:spacing w:before="0" w:after="0"/>
      </w:pPr>
      <w:r>
        <w:rPr>
          <w:rFonts w:ascii="Courier New" w:cs="Courier New" w:eastAsia="Courier New" w:hAnsi="Courier New"/>
          <w:color w:val="202124"/>
          <w:sz w:val="15"/>
          <w:szCs w:val="15"/>
        </w:rPr>
        <w:t xml:space="preserve">│  │   │  Connectors     │   │  Message Broker │   │  Graph DB       ││ │</w:t>
      </w:r>
    </w:p>
    <w:p>
      <w:pPr>
        <w:spacing w:before="0" w:after="0"/>
      </w:pPr>
      <w:r>
        <w:rPr>
          <w:rFonts w:ascii="Courier New" w:cs="Courier New" w:eastAsia="Courier New" w:hAnsi="Courier New"/>
          <w:color w:val="202124"/>
          <w:sz w:val="15"/>
          <w:szCs w:val="15"/>
        </w:rPr>
        <w:t xml:space="preserve">│  │   └─────────────────┘   └─────────────────┘   └─────────────────┘│ │</w:t>
      </w:r>
    </w:p>
    <w:p>
      <w:pPr>
        <w:spacing w:before="0" w:after="0"/>
      </w:pPr>
      <w:r>
        <w:rPr>
          <w:rFonts w:ascii="Courier New" w:cs="Courier New" w:eastAsia="Courier New" w:hAnsi="Courier New"/>
          <w:color w:val="202124"/>
          <w:sz w:val="15"/>
          <w:szCs w:val="15"/>
        </w:rPr>
        <w:t xml:space="preserve">│  │                         PLATFORM SERVICES                         │ │</w:t>
      </w:r>
    </w:p>
    <w:p>
      <w:pPr>
        <w:spacing w:before="0" w:after="0"/>
      </w:pPr>
      <w:r>
        <w:rPr>
          <w:rFonts w:ascii="Courier New" w:cs="Courier New" w:eastAsia="Courier New" w:hAnsi="Courier New"/>
          <w:color w:val="202124"/>
          <w:sz w:val="15"/>
          <w:szCs w:val="15"/>
        </w:rPr>
        <w:t xml:space="preserve">│  └───────────────────────────────────────────────────────────────────┘ │</w:t>
      </w:r>
    </w:p>
    <w:p>
      <w:pPr>
        <w:spacing w:before="0" w:after="0"/>
      </w:pPr>
      <w:r>
        <w:rPr>
          <w:rFonts w:ascii="Courier New" w:cs="Courier New" w:eastAsia="Courier New" w:hAnsi="Courier New"/>
          <w:color w:val="202124"/>
          <w:sz w:val="15"/>
          <w:szCs w:val="15"/>
        </w:rPr>
        <w:t xml:space="preserve">└─────────────────────────────────────────────────────────────────────────┘</w:t>
      </w:r>
    </w:p>
    <w:p>
      <w:pPr>
        <w:spacing w:before="300"/>
      </w:pPr>
    </w:p>
    <w:p>
      <w:pPr>
        <w:pStyle w:val="Heading2"/>
        <w:spacing w:before="300" w:after="150"/>
      </w:pPr>
      <w:r>
        <w:rPr>
          <w:rFonts w:ascii="Arial" w:cs="Arial" w:eastAsia="Arial" w:hAnsi="Arial"/>
          <w:b/>
          <w:bCs/>
          <w:color w:val="1a73e8"/>
          <w:sz w:val="28"/>
          <w:szCs w:val="28"/>
        </w:rPr>
        <w:t xml:space="preserve">7.2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Layer</w:t>
            </w:r>
          </w:p>
        </w:tc>
        <w:tc>
          <w:tcPr>
            <w:tcW w:type="dxa" w:w="34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Technology</w:t>
            </w:r>
          </w:p>
        </w:tc>
        <w:tc>
          <w:tcPr>
            <w:tcW w:type="dxa" w:w="34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LLM</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Claude 3.5 / Llama 3.1 70B</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Primary reasoning engine</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Orchestration</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Kubernetes + Kafka</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Agent deployment &amp; messaging</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Vector DB</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Pinecone / Weaviate / Milvus</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Semantic search &amp; embeddings</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Graph DB</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Neo4j / Neptune</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Knowledge graph reasoning</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Cache</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Redis Cluster</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Working memory &amp; sessions</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Observability</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OpenTelemetry + Grafana</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Metrics, traces, dashboards</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Security</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Vault + mTLS + OAuth2</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Secrets, encryption, auth</w:t>
            </w:r>
          </w:p>
        </w:tc>
      </w:tr>
    </w:tbl>
    <w:p>
      <w:pPr>
        <w:spacing w:before="300"/>
      </w:pPr>
    </w:p>
    <w:p>
      <w:pPr>
        <w:pStyle w:val="Heading2"/>
        <w:spacing w:before="300" w:after="150"/>
      </w:pPr>
      <w:r>
        <w:rPr>
          <w:rFonts w:ascii="Arial" w:cs="Arial" w:eastAsia="Arial" w:hAnsi="Arial"/>
          <w:b/>
          <w:bCs/>
          <w:color w:val="1a73e8"/>
          <w:sz w:val="28"/>
          <w:szCs w:val="28"/>
        </w:rPr>
        <w:t xml:space="preserve">7.3 Deployment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Option</w:t>
            </w:r>
          </w:p>
        </w:tc>
        <w:tc>
          <w:tcPr>
            <w:tcW w:type="dxa" w:w="34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Best For</w:t>
            </w:r>
          </w:p>
        </w:tc>
        <w:tc>
          <w:tcPr>
            <w:tcW w:type="dxa" w:w="3480"/>
            <w:tcBorders>
              <w:top w:val="single" w:color="0d4f8b" w:sz="2"/>
              <w:left w:val="single" w:color="0d4f8b" w:sz="2"/>
              <w:bottom w:val="single" w:color="0d4f8b" w:sz="2"/>
              <w:right w:val="single" w:color="0d4f8b" w:sz="2"/>
            </w:tcBorders>
            <w:shd w:fill="0d4f8b" w:val="clear"/>
            <w:vAlign w:val="center"/>
          </w:tcPr>
          <w:p>
            <w:pPr>
              <w:jc w:val="left"/>
            </w:pPr>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On-Premises</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Strict data sovereignty</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Full air-gap, local LLM</w:t>
            </w:r>
          </w:p>
        </w:tc>
      </w:tr>
      <w:tr>
        <w:tc>
          <w:tcPr>
            <w:tcW w:type="dxa" w:w="240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bCs/>
                <w:color w:val="202124"/>
                <w:sz w:val="20"/>
                <w:szCs w:val="20"/>
              </w:rPr>
              <w:t xml:space="preserve">Private Cloud</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Existing AWS/Azure/GCP</w:t>
            </w:r>
          </w:p>
        </w:tc>
        <w:tc>
          <w:tcPr>
            <w:tcW w:type="dxa" w:w="3480"/>
            <w:tcBorders>
              <w:top w:val="single" w:color="CCCCCC" w:sz="1"/>
              <w:left w:val="single" w:color="CCCCCC" w:sz="1"/>
              <w:bottom w:val="single" w:color="CCCCCC" w:sz="1"/>
              <w:right w:val="single" w:color="CCCCCC" w:sz="1"/>
            </w:tcBorders>
            <w:shd w:fill="f8f9fa" w:val="clear"/>
            <w:vAlign w:val="center"/>
          </w:tcPr>
          <w:p>
            <w:pPr>
              <w:jc w:val="left"/>
            </w:pPr>
            <w:r>
              <w:rPr>
                <w:rFonts w:ascii="Arial" w:cs="Arial" w:eastAsia="Arial" w:hAnsi="Arial"/>
                <w:b w:val="false"/>
                <w:bCs w:val="false"/>
                <w:color w:val="202124"/>
                <w:sz w:val="20"/>
                <w:szCs w:val="20"/>
              </w:rPr>
              <w:t xml:space="preserve">VPC isolation, managed services</w:t>
            </w:r>
          </w:p>
        </w:tc>
      </w:tr>
      <w:tr>
        <w:tc>
          <w:tcPr>
            <w:tcW w:type="dxa" w:w="240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bCs/>
                <w:color w:val="202124"/>
                <w:sz w:val="20"/>
                <w:szCs w:val="20"/>
              </w:rPr>
              <w:t xml:space="preserve">Hybrid</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Multi-region compliance</w:t>
            </w:r>
          </w:p>
        </w:tc>
        <w:tc>
          <w:tcPr>
            <w:tcW w:type="dxa" w:w="3480"/>
            <w:tcBorders>
              <w:top w:val="single" w:color="CCCCCC" w:sz="1"/>
              <w:left w:val="single" w:color="CCCCCC" w:sz="1"/>
              <w:bottom w:val="single" w:color="CCCCCC" w:sz="1"/>
              <w:right w:val="single" w:color="CCCCCC" w:sz="1"/>
            </w:tcBorders>
            <w:shd w:fill="ffffff" w:val="clear"/>
            <w:vAlign w:val="center"/>
          </w:tcPr>
          <w:p>
            <w:pPr>
              <w:jc w:val="left"/>
            </w:pPr>
            <w:r>
              <w:rPr>
                <w:rFonts w:ascii="Arial" w:cs="Arial" w:eastAsia="Arial" w:hAnsi="Arial"/>
                <w:b w:val="false"/>
                <w:bCs w:val="false"/>
                <w:color w:val="202124"/>
                <w:sz w:val="20"/>
                <w:szCs w:val="20"/>
              </w:rPr>
              <w:t xml:space="preserve">Federated agents, data residency</w:t>
            </w:r>
          </w:p>
        </w:tc>
      </w:tr>
    </w:tbl>
    <w:p>
      <w:pPr>
        <w:spacing w:before="400"/>
      </w:pPr>
    </w:p>
    <w:p>
      <w:pPr>
        <w:jc w:val="center"/>
      </w:pPr>
      <w:r>
        <w:rPr>
          <w:rFonts w:ascii="Arial" w:cs="Arial" w:eastAsia="Arial" w:hAnsi="Arial"/>
          <w:color w:val="e8eaed"/>
          <w:sz w:val="24"/>
          <w:szCs w:val="24"/>
        </w:rPr>
        <w:t xml:space="preserve">━━━━━━━━━━━━━━━━━━━━━━━━━━━━━━━━━━━━━━━━━</w:t>
      </w:r>
    </w:p>
    <w:p>
      <w:pPr>
        <w:spacing w:before="200"/>
      </w:pPr>
    </w:p>
    <w:p>
      <w:pPr>
        <w:jc w:val="center"/>
      </w:pPr>
      <w:r>
        <w:rPr>
          <w:rFonts w:ascii="Arial" w:cs="Arial" w:eastAsia="Arial" w:hAnsi="Arial"/>
          <w:i/>
          <w:iCs/>
          <w:color w:val="5f6368"/>
          <w:sz w:val="22"/>
          <w:szCs w:val="22"/>
        </w:rPr>
        <w:t xml:space="preserve">End of Document</w:t>
      </w:r>
    </w:p>
    <w:p>
      <w:pPr>
        <w:spacing w:before="100"/>
        <w:jc w:val="center"/>
      </w:pPr>
      <w:r>
        <w:rPr>
          <w:rFonts w:ascii="Arial" w:cs="Arial" w:eastAsia="Arial" w:hAnsi="Arial"/>
          <w:color w:val="5f6368"/>
          <w:sz w:val="20"/>
          <w:szCs w:val="20"/>
        </w:rPr>
        <w:t xml:space="preserve">© 2024 Jai Infoway  |  Contact: info@jaiinfoway.com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8"/>
        <w:szCs w:val="18"/>
      </w:rPr>
      <w:t xml:space="preserve">© 2024 Jai Infoway  |  Page </w:t>
    </w:r>
    <w:r>
      <w:rPr>
        <w:rFonts w:ascii="Arial" w:cs="Arial" w:eastAsia="Arial" w:hAnsi="Arial"/>
        <w:color w:val="5f6368"/>
        <w:sz w:val="18"/>
        <w:szCs w:val="18"/>
      </w:rPr>
      <w:fldChar w:fldCharType="begin"/>
      <w:instrText xml:space="preserve">PAGE</w:instrText>
      <w:fldChar w:fldCharType="separate"/>
      <w:fldChar w:fldCharType="end"/>
    </w:r>
    <w:r>
      <w:rPr>
        <w:rFonts w:ascii="Arial" w:cs="Arial" w:eastAsia="Arial" w:hAnsi="Arial"/>
        <w:color w:val="5f6368"/>
        <w:sz w:val="18"/>
        <w:szCs w:val="18"/>
      </w:rPr>
      <w:t xml:space="preserve"> of </w:t>
    </w:r>
    <w:r>
      <w:rPr>
        <w:rFonts w:ascii="Arial" w:cs="Arial" w:eastAsia="Arial" w:hAnsi="Arial"/>
        <w:color w:val="5f63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d4f8b"/>
        <w:sz w:val="20"/>
        <w:szCs w:val="20"/>
      </w:rPr>
      <w:t xml:space="preserve">jAI Agent Framework</w:t>
    </w:r>
    <w:r>
      <w:rPr>
        <w:rFonts w:ascii="Arial" w:cs="Arial" w:eastAsia="Arial" w:hAnsi="Arial"/>
        <w:color w:val="5f636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d4f8b"/>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d4f8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021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2025-12-18T00:35:17.397Z</dcterms:created>
  <dcterms:modified xsi:type="dcterms:W3CDTF">2025-12-18T00:35:17.398Z</dcterms:modified>
</cp:coreProperties>
</file>

<file path=docProps/custom.xml><?xml version="1.0" encoding="utf-8"?>
<Properties xmlns="http://schemas.openxmlformats.org/officeDocument/2006/custom-properties" xmlns:vt="http://schemas.openxmlformats.org/officeDocument/2006/docPropsVTypes"/>
</file>