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829" w:rsidRDefault="00C51829" w:rsidP="00C51829">
      <w:pPr>
        <w:pStyle w:val="Ttulo"/>
      </w:pPr>
      <w:r w:rsidRPr="00D76E81">
        <w:t>OPEN BANDS</w:t>
      </w:r>
    </w:p>
    <w:p w:rsidR="00C51829" w:rsidRDefault="00C51829" w:rsidP="00C51829">
      <w:pPr>
        <w:pStyle w:val="Ttulo"/>
        <w:rPr>
          <w:b w:val="0"/>
        </w:rPr>
      </w:pPr>
      <w:r>
        <w:rPr>
          <w:b w:val="0"/>
        </w:rPr>
        <w:t>Casos de Uso</w:t>
      </w:r>
    </w:p>
    <w:p w:rsidR="00C51829" w:rsidRDefault="00C51829" w:rsidP="00C51829">
      <w:pPr>
        <w:pStyle w:val="Subttulo"/>
      </w:pPr>
      <w:r>
        <w:rPr>
          <w:b w:val="0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4429"/>
        <w:gridCol w:w="2907"/>
      </w:tblGrid>
      <w:tr w:rsidR="00C51829" w:rsidRPr="00D87C1D" w:rsidTr="00363E6A">
        <w:tc>
          <w:tcPr>
            <w:tcW w:w="1384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4429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907" w:type="dxa"/>
          </w:tcPr>
          <w:p w:rsidR="00C51829" w:rsidRPr="007B3EB7" w:rsidRDefault="00C51829" w:rsidP="00363E6A">
            <w:pPr>
              <w:spacing w:before="60" w:after="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B3EB7">
              <w:rPr>
                <w:rFonts w:asciiTheme="minorHAnsi" w:hAnsiTheme="minorHAnsi"/>
                <w:b/>
                <w:sz w:val="20"/>
                <w:szCs w:val="20"/>
              </w:rPr>
              <w:t>Autores</w:t>
            </w:r>
          </w:p>
        </w:tc>
      </w:tr>
      <w:tr w:rsidR="00C51829" w:rsidRPr="007C22FC" w:rsidTr="00363E6A">
        <w:tc>
          <w:tcPr>
            <w:tcW w:w="1384" w:type="dxa"/>
          </w:tcPr>
          <w:p w:rsidR="00C51829" w:rsidRPr="007B3EB7" w:rsidRDefault="002678E1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17/11/13</w:t>
            </w:r>
          </w:p>
        </w:tc>
        <w:tc>
          <w:tcPr>
            <w:tcW w:w="4429" w:type="dxa"/>
          </w:tcPr>
          <w:p w:rsidR="00C51829" w:rsidRPr="007B3EB7" w:rsidRDefault="002678E1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Revisão do documento</w:t>
            </w:r>
          </w:p>
        </w:tc>
        <w:tc>
          <w:tcPr>
            <w:tcW w:w="2907" w:type="dxa"/>
          </w:tcPr>
          <w:p w:rsidR="00C51829" w:rsidRPr="007B3EB7" w:rsidRDefault="002678E1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Gabriela Cavalcante</w:t>
            </w:r>
          </w:p>
        </w:tc>
      </w:tr>
      <w:tr w:rsidR="00C51829" w:rsidRPr="007C22FC" w:rsidTr="00363E6A">
        <w:tc>
          <w:tcPr>
            <w:tcW w:w="1384" w:type="dxa"/>
          </w:tcPr>
          <w:p w:rsidR="00C51829" w:rsidRPr="00D87C1D" w:rsidRDefault="002678E1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10/09/</w:t>
            </w:r>
            <w:r w:rsidR="00C51829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tcW w:w="4429" w:type="dxa"/>
          </w:tcPr>
          <w:p w:rsidR="00C51829" w:rsidRPr="00D87C1D" w:rsidRDefault="00C51829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 separado</w:t>
            </w:r>
          </w:p>
        </w:tc>
        <w:tc>
          <w:tcPr>
            <w:tcW w:w="2907" w:type="dxa"/>
          </w:tcPr>
          <w:p w:rsidR="00C51829" w:rsidRPr="00D87C1D" w:rsidRDefault="002678E1" w:rsidP="00363E6A">
            <w:pPr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Gabriela Cavalcante </w:t>
            </w:r>
            <w:bookmarkStart w:id="0" w:name="_GoBack"/>
            <w:bookmarkEnd w:id="0"/>
          </w:p>
        </w:tc>
      </w:tr>
    </w:tbl>
    <w:p w:rsidR="00C51829" w:rsidRPr="007B3EB7" w:rsidRDefault="00C51829" w:rsidP="00C51829"/>
    <w:p w:rsidR="00C51829" w:rsidRDefault="00C51829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</w:p>
    <w:p w:rsidR="00C51829" w:rsidRDefault="00C51829" w:rsidP="00CB4438">
      <w:pPr>
        <w:spacing w:after="0" w:line="300" w:lineRule="atLeast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</w:p>
    <w:p w:rsidR="00C51829" w:rsidRPr="008A61E9" w:rsidRDefault="00C51829" w:rsidP="008A61E9">
      <w:pPr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pt-BR"/>
        </w:rPr>
        <w:br w:type="page"/>
      </w:r>
    </w:p>
    <w:p w:rsidR="00C51829" w:rsidRPr="00CE62C4" w:rsidRDefault="00C51829" w:rsidP="00C51829">
      <w:pPr>
        <w:spacing w:after="0" w:line="300" w:lineRule="atLeast"/>
        <w:jc w:val="center"/>
        <w:textAlignment w:val="baseline"/>
        <w:rPr>
          <w:rFonts w:eastAsia="Times New Roman" w:cs="Segoe UI"/>
          <w:b/>
          <w:bCs/>
          <w:iCs/>
          <w:color w:val="000000"/>
          <w:bdr w:val="none" w:sz="0" w:space="0" w:color="auto" w:frame="1"/>
          <w:lang w:eastAsia="pt-BR"/>
        </w:rPr>
      </w:pPr>
      <w:r w:rsidRPr="00CE62C4">
        <w:rPr>
          <w:rFonts w:eastAsia="Times New Roman" w:cs="Segoe UI"/>
          <w:b/>
          <w:bCs/>
          <w:iCs/>
          <w:color w:val="000000"/>
          <w:bdr w:val="none" w:sz="0" w:space="0" w:color="auto" w:frame="1"/>
          <w:lang w:eastAsia="pt-BR"/>
        </w:rPr>
        <w:lastRenderedPageBreak/>
        <w:t>CASOS DE USO</w:t>
      </w:r>
    </w:p>
    <w:p w:rsidR="00C51829" w:rsidRPr="00CE62C4" w:rsidRDefault="00C51829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Criar playlist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Visitante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O usuário não cadastrado poderá criar uma playlist momentânea. Bastará arrastar a música desejada para o local separado para guardar as músicas que serão tocadas. Clicando no ícone 'play' para adicioná-la a lista, ou no '+' e depois em "Reproduzir agora" para colocá-la para tocar diretamente. A playlist desse usuário não será salva, por ele não ter cadastro.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cadastro de usuário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Visitante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visitante do site poderá criar sua conta com dados como nome, data de nascimento, endereço, e-mail e senha. Basta ele clicar na opção 'Criar Conta', uma tela de cadastro aparecerá </w:t>
      </w:r>
      <w:r w:rsidR="00CB4438" w:rsidRPr="00CE62C4">
        <w:rPr>
          <w:rFonts w:eastAsia="Times New Roman" w:cs="Segoe UI"/>
          <w:color w:val="000000"/>
          <w:lang w:eastAsia="pt-BR"/>
        </w:rPr>
        <w:t>(as opções de cadastro não aparecerão propriamente em uma tela, mas em um espaço por cima da tela principal).</w:t>
      </w:r>
      <w:r w:rsidRPr="00CE62C4">
        <w:rPr>
          <w:rFonts w:eastAsia="Times New Roman" w:cs="Segoe UI"/>
          <w:color w:val="000000"/>
          <w:lang w:eastAsia="pt-BR"/>
        </w:rPr>
        <w:t xml:space="preserve"> Também terá a opção de usar contas pré-existentes de outros serviços, como Twitter, Gmail, Facebook para criar o cadastro em nosso site.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Login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Depois da conta criada, o usuário fará o login com e-mail e senha usados no cadastro, clicando na opção 'Login'. Caso a tentativa de login seja feita mais de </w:t>
      </w:r>
      <w:proofErr w:type="gramStart"/>
      <w:r w:rsidRPr="00CE62C4">
        <w:rPr>
          <w:rFonts w:eastAsia="Times New Roman" w:cs="Segoe UI"/>
          <w:color w:val="000000"/>
          <w:lang w:eastAsia="pt-BR"/>
        </w:rPr>
        <w:t>3</w:t>
      </w:r>
      <w:proofErr w:type="gramEnd"/>
      <w:r w:rsidRPr="00CE62C4">
        <w:rPr>
          <w:rFonts w:eastAsia="Times New Roman" w:cs="Segoe UI"/>
          <w:color w:val="000000"/>
          <w:lang w:eastAsia="pt-BR"/>
        </w:rPr>
        <w:t xml:space="preserve"> vezes com o mesmo e-mail em um período de tempo determinado, para continuar tentando logar com este e-mail o usuário terá que pedir que sua senha seja recuperada. Então, um e-mail será enviado para o endereço eletrônico do usuário com o link para recuperação da senha.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i/>
          <w:color w:val="000000"/>
          <w:lang w:eastAsia="pt-BR"/>
        </w:rPr>
      </w:pP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b/>
          <w:i/>
          <w:color w:val="000000"/>
          <w:lang w:eastAsia="pt-BR"/>
        </w:rPr>
      </w:pPr>
      <w:r w:rsidRPr="00CE62C4">
        <w:rPr>
          <w:rFonts w:eastAsia="Times New Roman" w:cs="Segoe UI"/>
          <w:b/>
          <w:i/>
          <w:color w:val="000000"/>
          <w:lang w:eastAsia="pt-BR"/>
        </w:rPr>
        <w:t>Adicionar produto ao Carrinho de compras</w:t>
      </w: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i/>
          <w:color w:val="000000"/>
          <w:lang w:eastAsia="pt-BR"/>
        </w:rPr>
      </w:pPr>
      <w:r w:rsidRPr="00CE62C4">
        <w:rPr>
          <w:rFonts w:eastAsia="Times New Roman" w:cs="Segoe UI"/>
          <w:i/>
          <w:color w:val="000000"/>
          <w:lang w:eastAsia="pt-BR"/>
        </w:rPr>
        <w:t>Usuário cadastrado/visitante</w:t>
      </w:r>
    </w:p>
    <w:p w:rsidR="00CE62C4" w:rsidRPr="00CE62C4" w:rsidRDefault="00CE62C4" w:rsidP="00363E6A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usuário (cadastrado ou não) poderá fazer a escolha das músicas para o carrinho de compras. Ele poderá escolher músicas separadamente (uma única faixa de um CD), ou com CD ou DVD completo. Ao selecionar o produto de sua escolha ele será adicionado ao carrinho, e o usuário terá a opção de prosseguir com a compra ou escolher mais produtos. Para aqueles que comprarem um CD ou DVD completo, o preço será proporcionalmente menor se a música for comprada individualmente. </w:t>
      </w:r>
    </w:p>
    <w:p w:rsidR="00CE62C4" w:rsidRPr="00CE62C4" w:rsidRDefault="00CE62C4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Comprar produto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Somente para os usu</w:t>
      </w:r>
      <w:r w:rsidR="00CB4438" w:rsidRPr="00CE62C4">
        <w:rPr>
          <w:rFonts w:eastAsia="Times New Roman" w:cs="Segoe UI"/>
          <w:color w:val="000000"/>
          <w:lang w:eastAsia="pt-BR"/>
        </w:rPr>
        <w:t>ários cadastrados será permitida</w:t>
      </w:r>
      <w:r w:rsidRPr="00CE62C4">
        <w:rPr>
          <w:rFonts w:eastAsia="Times New Roman" w:cs="Segoe UI"/>
          <w:color w:val="000000"/>
          <w:lang w:eastAsia="pt-BR"/>
        </w:rPr>
        <w:t xml:space="preserve"> a compra dos produtos disponibilizados no site. Depois de efetuada a compra, as músicas podem ser baixadas ou o produto físico é solicitado. Como comprovante de compra, um e-mail será enviado, com uma chave inclusa. Essa chave poderá ser usada para liberar a música para download.</w:t>
      </w:r>
    </w:p>
    <w:p w:rsidR="008A33B4" w:rsidRDefault="00AB0F08" w:rsidP="00AB0F08">
      <w:pPr>
        <w:spacing w:after="0" w:line="300" w:lineRule="atLeast"/>
        <w:jc w:val="both"/>
        <w:textAlignment w:val="baseline"/>
      </w:pPr>
      <w:r>
        <w:rPr>
          <w:rFonts w:eastAsia="Times New Roman" w:cs="Segoe UI"/>
          <w:color w:val="000000"/>
          <w:lang w:eastAsia="pt-BR"/>
        </w:rPr>
        <w:t xml:space="preserve">O pagamento do CD ou DVD solicitado será por meio do </w:t>
      </w:r>
      <w:proofErr w:type="spellStart"/>
      <w:r w:rsidR="008A33B4" w:rsidRPr="00CE62C4">
        <w:t>Paypal</w:t>
      </w:r>
      <w:proofErr w:type="spellEnd"/>
      <w:r w:rsidR="008A33B4" w:rsidRPr="00CE62C4">
        <w:t xml:space="preserve">, </w:t>
      </w:r>
      <w:proofErr w:type="spellStart"/>
      <w:proofErr w:type="gramStart"/>
      <w:r w:rsidR="008A33B4" w:rsidRPr="00CE62C4">
        <w:t>PagSeguro</w:t>
      </w:r>
      <w:proofErr w:type="spellEnd"/>
      <w:proofErr w:type="gramEnd"/>
      <w:r>
        <w:t>, ou boleto bancário</w:t>
      </w:r>
      <w:r w:rsidR="008A33B4" w:rsidRPr="00CE62C4">
        <w:t>.</w:t>
      </w:r>
      <w:r>
        <w:t xml:space="preserve"> Depois do pagamento efetuado, mandaremos o produto por Sedex ou PAC</w:t>
      </w:r>
      <w:r w:rsidR="008A33B4" w:rsidRPr="00CE62C4">
        <w:t>.</w:t>
      </w:r>
      <w:r>
        <w:t xml:space="preserve"> Não haverá limite para a compra de produtos, e o usuário poderá usar nossos serviços para presentear outro usuário: v</w:t>
      </w:r>
      <w:r w:rsidR="008A33B4" w:rsidRPr="00CE62C4">
        <w:t>ocê comprar o pro</w:t>
      </w:r>
      <w:r>
        <w:t xml:space="preserve">duto e encaminha-o para alguém, que receberá um e-mail com a chave para baixar a(s) música(s). Esse e-mail </w:t>
      </w:r>
      <w:r w:rsidR="008A33B4" w:rsidRPr="00CE62C4">
        <w:t>só deverá ser como mídia digital. O produto não será entregue fisicamente.</w:t>
      </w:r>
      <w:r>
        <w:t xml:space="preserve"> </w:t>
      </w:r>
    </w:p>
    <w:p w:rsidR="00CF3E06" w:rsidRPr="00EC2763" w:rsidRDefault="00AB0F08" w:rsidP="00EC2763">
      <w:pPr>
        <w:spacing w:line="240" w:lineRule="auto"/>
        <w:jc w:val="both"/>
      </w:pPr>
      <w:r>
        <w:lastRenderedPageBreak/>
        <w:t>A</w:t>
      </w:r>
      <w:r w:rsidR="008A33B4" w:rsidRPr="00CE62C4">
        <w:t xml:space="preserve"> chave dada para download das músicas compradas </w:t>
      </w:r>
      <w:r>
        <w:t>não terá limite de utilização, porém s</w:t>
      </w:r>
      <w:r w:rsidR="008A33B4" w:rsidRPr="00CE62C4">
        <w:t>omente o usuário que comprou o produto poderá usá-la.</w:t>
      </w:r>
      <w:r>
        <w:t xml:space="preserve">  Além disso, caso o usuário prefira fazer o download em vez de receber a mídia física</w:t>
      </w:r>
      <w:r w:rsidR="00EC2763">
        <w:t>, ele terá um desconto no valor do produto.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Download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O download das músicas livres pode ser feito sem restrições, contanto que o usuário seja cadastrado, basta clicar no ícone "+" que aparecerá na música quando o mouse estiver passando por cima, e depois clicar em "Download da música". Para facilitar o trabalho dos usuários, as músicas agrupadas em playlist podem ser baixadas por completo. Essas músicas grátis não poderão ser comercializadas depois do download </w:t>
      </w:r>
      <w:r w:rsidR="00CB4438" w:rsidRPr="00CE62C4">
        <w:rPr>
          <w:rFonts w:eastAsia="Times New Roman" w:cs="Segoe UI"/>
          <w:color w:val="000000"/>
          <w:lang w:eastAsia="pt-BR"/>
        </w:rPr>
        <w:t xml:space="preserve">a </w:t>
      </w:r>
      <w:r w:rsidRPr="00CE62C4">
        <w:rPr>
          <w:rFonts w:eastAsia="Times New Roman" w:cs="Segoe UI"/>
          <w:color w:val="000000"/>
          <w:lang w:eastAsia="pt-BR"/>
        </w:rPr>
        <w:t>ser feito. </w:t>
      </w:r>
    </w:p>
    <w:p w:rsidR="008A33B4" w:rsidRPr="00CE62C4" w:rsidRDefault="008A33B4" w:rsidP="008A33B4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Criar/Salvar playlist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 cadastrado/banda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A playlist pode ser feita tanto por visitantes do site como por usuários cadastrados, porém somente os que tiverem cadastro poderão salvar sua playlist. Grupos podem ser criados para agrupar e organizar as músicas.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Fazer cadastro de banda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No momento de efetuar o cadastro, o visitante poderá optar tanto por se cadastrar como usuário quanto como banda. Da ultima forma, ele terá a oportunidade de disponibilizar músicas de sua autoria.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Disponibilizar músicas p/ download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B4438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As bandas de música</w:t>
      </w:r>
      <w:r w:rsidR="00CF3E06" w:rsidRPr="00CE62C4">
        <w:rPr>
          <w:rFonts w:eastAsia="Times New Roman" w:cs="Segoe UI"/>
          <w:color w:val="000000"/>
          <w:lang w:eastAsia="pt-BR"/>
        </w:rPr>
        <w:t xml:space="preserve"> livre poderão deixar músicas disponíveis no site. O upload delas será feito, e caso uma taxa predefinida seja paga, as músicas terão destaque, caso contrário, se juntará as outras por ordem de “entrada”.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Disponibilizar músicas p/ venda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 xml:space="preserve">As bandas podem 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disponibilizar</w:t>
      </w: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 xml:space="preserve"> suas músicas tanto gratuitamente como 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as vendendo</w:t>
      </w:r>
      <w:r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. Suas músicas serão adicionadas no site e o usuário poderá ouvi-las, mas baixá-las somente mediante o pagamento</w:t>
      </w:r>
      <w:r w:rsidR="00CB4438" w:rsidRPr="00CE62C4">
        <w:rPr>
          <w:rFonts w:eastAsia="Times New Roman" w:cs="Segoe UI"/>
          <w:iCs/>
          <w:color w:val="000000"/>
          <w:bdr w:val="none" w:sz="0" w:space="0" w:color="auto" w:frame="1"/>
          <w:lang w:eastAsia="pt-BR"/>
        </w:rPr>
        <w:t>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Pagamento às 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Bandas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 xml:space="preserve">Caso a banda opte por vender suas músicas, o site recolherá uma taxa para si, e o restante será adicionado num </w:t>
      </w:r>
      <w:proofErr w:type="spellStart"/>
      <w:r w:rsidRPr="00CE62C4">
        <w:rPr>
          <w:rFonts w:eastAsia="Times New Roman" w:cs="Segoe UI"/>
          <w:color w:val="000000"/>
          <w:lang w:eastAsia="pt-BR"/>
        </w:rPr>
        <w:t>database</w:t>
      </w:r>
      <w:proofErr w:type="spellEnd"/>
      <w:r w:rsidRPr="00CE62C4">
        <w:rPr>
          <w:rFonts w:eastAsia="Times New Roman" w:cs="Segoe UI"/>
          <w:color w:val="000000"/>
          <w:lang w:eastAsia="pt-BR"/>
        </w:rPr>
        <w:t>. Ao cabo de certo tempo (um mês ou uma semana) o dinheiro será creditado na conta bancária da banda.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b/>
          <w:bCs/>
          <w:i/>
          <w:iCs/>
          <w:color w:val="000000"/>
          <w:bdr w:val="none" w:sz="0" w:space="0" w:color="auto" w:frame="1"/>
          <w:lang w:eastAsia="pt-BR"/>
        </w:rPr>
        <w:t>Apagar cadastro </w:t>
      </w:r>
    </w:p>
    <w:p w:rsidR="00CF3E06" w:rsidRPr="00CE62C4" w:rsidRDefault="00CF3E06" w:rsidP="00CB4438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i/>
          <w:iCs/>
          <w:color w:val="000000"/>
          <w:bdr w:val="none" w:sz="0" w:space="0" w:color="auto" w:frame="1"/>
          <w:lang w:eastAsia="pt-BR"/>
        </w:rPr>
        <w:t>Usuário/bandas</w:t>
      </w:r>
    </w:p>
    <w:p w:rsidR="00CE62C4" w:rsidRPr="00EE5DCD" w:rsidRDefault="00CF3E06" w:rsidP="008A33B4">
      <w:pPr>
        <w:spacing w:after="0" w:line="300" w:lineRule="atLeast"/>
        <w:jc w:val="both"/>
        <w:textAlignment w:val="baseline"/>
        <w:rPr>
          <w:rFonts w:eastAsia="Times New Roman" w:cs="Segoe UI"/>
          <w:color w:val="000000"/>
          <w:lang w:eastAsia="pt-BR"/>
        </w:rPr>
      </w:pPr>
      <w:r w:rsidRPr="00CE62C4">
        <w:rPr>
          <w:rFonts w:eastAsia="Times New Roman" w:cs="Segoe UI"/>
          <w:color w:val="000000"/>
          <w:lang w:eastAsia="pt-BR"/>
        </w:rPr>
        <w:t>O usuário ou banda poderá excluir seu cadastro. Eles receberão uma mensagem no e-mail notificando-os.</w:t>
      </w:r>
    </w:p>
    <w:sectPr w:rsidR="00CE62C4" w:rsidRPr="00EE5D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E64" w:rsidRDefault="00055E64" w:rsidP="00C51829">
      <w:pPr>
        <w:spacing w:after="0" w:line="240" w:lineRule="auto"/>
      </w:pPr>
      <w:r>
        <w:separator/>
      </w:r>
    </w:p>
  </w:endnote>
  <w:endnote w:type="continuationSeparator" w:id="0">
    <w:p w:rsidR="00055E64" w:rsidRDefault="00055E64" w:rsidP="00C5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E64" w:rsidRDefault="00055E64" w:rsidP="00C51829">
      <w:pPr>
        <w:spacing w:after="0" w:line="240" w:lineRule="auto"/>
      </w:pPr>
      <w:r>
        <w:separator/>
      </w:r>
    </w:p>
  </w:footnote>
  <w:footnote w:type="continuationSeparator" w:id="0">
    <w:p w:rsidR="00055E64" w:rsidRDefault="00055E64" w:rsidP="00C5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E6A" w:rsidRDefault="00363E6A">
    <w:pPr>
      <w:pStyle w:val="Cabealho"/>
    </w:pPr>
    <w:r>
      <w:t>OPEN BANDS</w:t>
    </w:r>
  </w:p>
  <w:p w:rsidR="00363E6A" w:rsidRDefault="00363E6A">
    <w:pPr>
      <w:pStyle w:val="Cabealho"/>
    </w:pPr>
  </w:p>
  <w:p w:rsidR="00363E6A" w:rsidRDefault="00363E6A">
    <w:pPr>
      <w:pStyle w:val="Cabealho"/>
    </w:pPr>
    <w:r>
      <w:t>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5E"/>
    <w:multiLevelType w:val="multilevel"/>
    <w:tmpl w:val="C4AE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16A0B"/>
    <w:multiLevelType w:val="multilevel"/>
    <w:tmpl w:val="E358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FA4D65"/>
    <w:multiLevelType w:val="hybridMultilevel"/>
    <w:tmpl w:val="6A56EE5A"/>
    <w:lvl w:ilvl="0" w:tplc="1DDE1E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FDD7210"/>
    <w:multiLevelType w:val="hybridMultilevel"/>
    <w:tmpl w:val="3AECE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471F1"/>
    <w:multiLevelType w:val="multilevel"/>
    <w:tmpl w:val="D008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2A"/>
    <w:rsid w:val="00055E64"/>
    <w:rsid w:val="002678E1"/>
    <w:rsid w:val="0031350D"/>
    <w:rsid w:val="00363E6A"/>
    <w:rsid w:val="00377E9C"/>
    <w:rsid w:val="00604530"/>
    <w:rsid w:val="008A33B4"/>
    <w:rsid w:val="008A61E9"/>
    <w:rsid w:val="008B4457"/>
    <w:rsid w:val="00AB0F08"/>
    <w:rsid w:val="00AD7E2A"/>
    <w:rsid w:val="00C51829"/>
    <w:rsid w:val="00CB4438"/>
    <w:rsid w:val="00CE62C4"/>
    <w:rsid w:val="00CF3E06"/>
    <w:rsid w:val="00E11EC9"/>
    <w:rsid w:val="00EC2763"/>
    <w:rsid w:val="00E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33B4"/>
  </w:style>
  <w:style w:type="paragraph" w:styleId="PargrafodaLista">
    <w:name w:val="List Paragraph"/>
    <w:basedOn w:val="Normal"/>
    <w:uiPriority w:val="34"/>
    <w:qFormat/>
    <w:rsid w:val="008A33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829"/>
  </w:style>
  <w:style w:type="paragraph" w:styleId="Rodap">
    <w:name w:val="footer"/>
    <w:basedOn w:val="Normal"/>
    <w:link w:val="Rodap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829"/>
  </w:style>
  <w:style w:type="table" w:styleId="Tabelacomgrade">
    <w:name w:val="Table Grid"/>
    <w:basedOn w:val="Tabelanormal"/>
    <w:rsid w:val="00C51829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C51829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C51829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C51829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C51829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518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1829"/>
    <w:pPr>
      <w:spacing w:line="240" w:lineRule="auto"/>
    </w:pPr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1829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829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182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1829"/>
    <w:rPr>
      <w:rFonts w:ascii="Calibri" w:eastAsia="Times New Roman" w:hAnsi="Calibri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A33B4"/>
  </w:style>
  <w:style w:type="paragraph" w:styleId="PargrafodaLista">
    <w:name w:val="List Paragraph"/>
    <w:basedOn w:val="Normal"/>
    <w:uiPriority w:val="34"/>
    <w:qFormat/>
    <w:rsid w:val="008A33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829"/>
  </w:style>
  <w:style w:type="paragraph" w:styleId="Rodap">
    <w:name w:val="footer"/>
    <w:basedOn w:val="Normal"/>
    <w:link w:val="RodapChar"/>
    <w:uiPriority w:val="99"/>
    <w:unhideWhenUsed/>
    <w:rsid w:val="00C51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829"/>
  </w:style>
  <w:style w:type="table" w:styleId="Tabelacomgrade">
    <w:name w:val="Table Grid"/>
    <w:basedOn w:val="Tabelanormal"/>
    <w:rsid w:val="00C51829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C51829"/>
    <w:pPr>
      <w:keepNext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C51829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C51829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C51829"/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518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51829"/>
    <w:pPr>
      <w:spacing w:line="240" w:lineRule="auto"/>
    </w:pPr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51829"/>
    <w:rPr>
      <w:rFonts w:ascii="Calibri" w:eastAsia="Times New Roman" w:hAnsi="Calibri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829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1829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1829"/>
    <w:rPr>
      <w:rFonts w:ascii="Calibri" w:eastAsia="Times New Roman" w:hAnsi="Calibri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497">
          <w:marLeft w:val="495"/>
          <w:marRight w:val="0"/>
          <w:marTop w:val="0"/>
          <w:marBottom w:val="0"/>
          <w:divBdr>
            <w:top w:val="none" w:sz="0" w:space="30" w:color="auto"/>
            <w:left w:val="single" w:sz="6" w:space="15" w:color="FCE3B0"/>
            <w:bottom w:val="none" w:sz="0" w:space="20" w:color="auto"/>
            <w:right w:val="none" w:sz="0" w:space="30" w:color="auto"/>
          </w:divBdr>
        </w:div>
        <w:div w:id="574319273">
          <w:marLeft w:val="495"/>
          <w:marRight w:val="0"/>
          <w:marTop w:val="0"/>
          <w:marBottom w:val="0"/>
          <w:divBdr>
            <w:top w:val="none" w:sz="0" w:space="0" w:color="auto"/>
            <w:left w:val="single" w:sz="6" w:space="0" w:color="FCE3B0"/>
            <w:bottom w:val="none" w:sz="0" w:space="0" w:color="auto"/>
            <w:right w:val="none" w:sz="0" w:space="30" w:color="auto"/>
          </w:divBdr>
          <w:divsChild>
            <w:div w:id="405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784</Words>
  <Characters>4237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Cavalcante da Silva</dc:creator>
  <cp:keywords/>
  <dc:description/>
  <cp:lastModifiedBy>Gabriela Cavalcante da Silva</cp:lastModifiedBy>
  <cp:revision>10</cp:revision>
  <dcterms:created xsi:type="dcterms:W3CDTF">2013-09-10T17:20:00Z</dcterms:created>
  <dcterms:modified xsi:type="dcterms:W3CDTF">2013-11-17T15:58:00Z</dcterms:modified>
</cp:coreProperties>
</file>