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OPEN BANDS</w:t>
      </w:r>
    </w:p>
    <w:p>
      <w:pPr>
        <w:spacing w:before="0" w:after="0" w:line="240"/>
        <w:ind w:right="0" w:left="0" w:firstLine="0"/>
        <w:jc w:val="left"/>
        <w:rPr>
          <w:rFonts w:ascii="Times New Roman" w:hAnsi="Times New Roman" w:cs="Times New Roman" w:eastAsia="Times New Roman"/>
          <w:i/>
          <w:color w:val="0000FF"/>
          <w:spacing w:val="0"/>
          <w:position w:val="0"/>
          <w:sz w:val="18"/>
          <w:shd w:fill="auto" w:val="clear"/>
        </w:rPr>
      </w:pPr>
    </w:p>
    <w:p>
      <w:pPr>
        <w:keepNext w:val="true"/>
        <w:numPr>
          <w:ilvl w:val="0"/>
          <w:numId w:val="3"/>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br/>
      </w:r>
    </w:p>
    <w:p>
      <w:pPr>
        <w:keepNext w:val="true"/>
        <w:numPr>
          <w:ilvl w:val="0"/>
          <w:numId w:val="3"/>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4"/>
          <w:shd w:fill="auto" w:val="clear"/>
        </w:rPr>
        <w:t xml:space="preserve">Posicionamento</w:t>
      </w:r>
    </w:p>
    <w:p>
      <w:pPr>
        <w:keepNext w:val="true"/>
        <w:numPr>
          <w:ilvl w:val="0"/>
          <w:numId w:val="4"/>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Declaração do Problema</w:t>
      </w:r>
    </w:p>
    <w:p>
      <w:pPr>
        <w:keepNext w:val="true"/>
        <w:spacing w:before="120" w:after="60" w:line="240"/>
        <w:ind w:right="0" w:left="0" w:firstLine="0"/>
        <w:jc w:val="left"/>
        <w:rPr>
          <w:rFonts w:ascii="Arial" w:hAnsi="Arial" w:cs="Arial" w:eastAsia="Arial"/>
          <w:b/>
          <w:color w:val="auto"/>
          <w:spacing w:val="0"/>
          <w:position w:val="0"/>
          <w:sz w:val="20"/>
          <w:shd w:fill="auto" w:val="clear"/>
        </w:rPr>
      </w:pPr>
    </w:p>
    <w:tbl>
      <w:tblPr>
        <w:tblInd w:w="828" w:type="dxa"/>
      </w:tblPr>
      <w:tblGrid>
        <w:gridCol w:w="2970"/>
        <w:gridCol w:w="5220"/>
      </w:tblGrid>
      <w:tr>
        <w:trPr>
          <w:trHeight w:val="1" w:hRule="atLeast"/>
          <w:jc w:val="left"/>
        </w:trPr>
        <w:tc>
          <w:tcPr>
            <w:tcW w:w="297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problema</w:t>
            </w:r>
          </w:p>
        </w:tc>
        <w:tc>
          <w:tcPr>
            <w:tcW w:w="522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spacing w:val="0"/>
                <w:position w:val="0"/>
                <w:sz w:val="22"/>
                <w:shd w:fill="auto" w:val="clear"/>
              </w:rPr>
            </w:pPr>
            <w:r>
              <w:rPr>
                <w:rFonts w:ascii="Times" w:hAnsi="Times" w:cs="Times" w:eastAsia="Times"/>
                <w:i/>
                <w:color w:val="0000FF"/>
                <w:spacing w:val="0"/>
                <w:position w:val="0"/>
                <w:sz w:val="22"/>
                <w:shd w:fill="auto" w:val="clear"/>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grande parte desses poucos sites só oferecem música estrangeira, afunilando o seu grupo de usuários.    </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Afetados</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spacing w:val="0"/>
                <w:position w:val="0"/>
                <w:sz w:val="22"/>
                <w:shd w:fill="auto" w:val="clear"/>
              </w:rPr>
            </w:pPr>
            <w:r>
              <w:rPr>
                <w:rFonts w:ascii="Times" w:hAnsi="Times" w:cs="Times" w:eastAsia="Times"/>
                <w:i/>
                <w:color w:val="0000FF"/>
                <w:spacing w:val="0"/>
                <w:position w:val="0"/>
                <w:sz w:val="22"/>
                <w:shd w:fill="auto" w:val="clear"/>
              </w:rPr>
              <w:t xml:space="preserve">Usuários do site, bandas, e os administradores do sistema.</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impacto</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spacing w:val="0"/>
                <w:position w:val="0"/>
                <w:sz w:val="22"/>
                <w:shd w:fill="auto" w:val="clear"/>
              </w:rPr>
            </w:pPr>
            <w:r>
              <w:rPr>
                <w:rFonts w:ascii="Times" w:hAnsi="Times" w:cs="Times" w:eastAsia="Times"/>
                <w:i/>
                <w:color w:val="0000FF"/>
                <w:spacing w:val="0"/>
                <w:position w:val="0"/>
                <w:sz w:val="22"/>
                <w:shd w:fill="auto" w:val="clear"/>
              </w:rPr>
              <w:t xml:space="preserve">O que nós queremos é trazer é inovação, liberdade e diversidade à este mercado em pleno crescimento.</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Uma solução poderia ser</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spacing w:val="0"/>
                <w:position w:val="0"/>
                <w:sz w:val="22"/>
                <w:shd w:fill="auto" w:val="clear"/>
              </w:rPr>
            </w:pPr>
            <w:r>
              <w:rPr>
                <w:rFonts w:ascii="Times" w:hAnsi="Times" w:cs="Times" w:eastAsia="Times"/>
                <w:i/>
                <w:color w:val="0000FF"/>
                <w:spacing w:val="0"/>
                <w:position w:val="0"/>
                <w:sz w:val="22"/>
                <w:shd w:fill="auto" w:val="clear"/>
              </w:rPr>
              <w:t xml:space="preserve">Uma solução para o problema existente traria facilidade e praticidade a usuários interessados. Além de oferecer mais opções com boa qualidade, e mostrar talentos ainda não conhecidos que produzem boa música mas que ainda não tiveram espaço.</w:t>
            </w:r>
          </w:p>
        </w:tc>
      </w:tr>
    </w:tbl>
    <w:p>
      <w:pPr>
        <w:keepNext w:val="true"/>
        <w:spacing w:before="120" w:after="60" w:line="240"/>
        <w:ind w:right="0" w:left="0" w:firstLine="0"/>
        <w:jc w:val="left"/>
        <w:rPr>
          <w:rFonts w:ascii="Arial" w:hAnsi="Arial" w:cs="Arial" w:eastAsia="Arial"/>
          <w:b/>
          <w:color w:val="auto"/>
          <w:spacing w:val="0"/>
          <w:position w:val="0"/>
          <w:sz w:val="20"/>
          <w:shd w:fill="auto" w:val="clear"/>
        </w:rPr>
      </w:pPr>
    </w:p>
    <w:p>
      <w:pPr>
        <w:keepNext w:val="true"/>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b.</w:t>
        <w:tab/>
      </w:r>
      <w:r>
        <w:rPr>
          <w:rFonts w:ascii="Arial" w:hAnsi="Arial" w:cs="Arial" w:eastAsia="Arial"/>
          <w:b/>
          <w:color w:val="auto"/>
          <w:spacing w:val="0"/>
          <w:position w:val="0"/>
          <w:sz w:val="22"/>
          <w:shd w:fill="auto" w:val="clear"/>
        </w:rPr>
        <w:t xml:space="preserve">Sobre o Produto</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tbl>
      <w:tblPr>
        <w:tblInd w:w="828" w:type="dxa"/>
      </w:tblPr>
      <w:tblGrid>
        <w:gridCol w:w="2790"/>
        <w:gridCol w:w="5400"/>
      </w:tblGrid>
      <w:tr>
        <w:trPr>
          <w:trHeight w:val="1" w:hRule="atLeast"/>
          <w:jc w:val="left"/>
        </w:trPr>
        <w:tc>
          <w:tcPr>
            <w:tcW w:w="279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w:t>
            </w:r>
          </w:p>
        </w:tc>
        <w:tc>
          <w:tcPr>
            <w:tcW w:w="540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spacing w:val="0"/>
                <w:position w:val="0"/>
                <w:sz w:val="22"/>
                <w:shd w:fill="auto" w:val="clear"/>
              </w:rPr>
            </w:pPr>
            <w:r>
              <w:rPr>
                <w:rFonts w:ascii="Times" w:hAnsi="Times" w:cs="Times" w:eastAsia="Times"/>
                <w:i/>
                <w:color w:val="0000FF"/>
                <w:spacing w:val="0"/>
                <w:position w:val="0"/>
                <w:sz w:val="22"/>
                <w:shd w:fill="auto" w:val="clear"/>
              </w:rPr>
              <w:t xml:space="preserve">Publico com acesso a internet, que tenha gusto musical compatível com os gêneros oferecidos, e que tenham necessidade desse tipo de serviço. Pessoas que não tenham condições de adiquirir deteminado CD ou DVD, ou que queiram ter acesso a músicas sem gastar com elas, e desejam conhecer novas opções. </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Quem</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[statement of the need or opportunity]</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Nome do Produto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OPEN BANDS</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que</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[statement of key benefit; that is, the compelling reason to buy]</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Contrário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[primary competitive alternative]</w:t>
            </w:r>
          </w:p>
        </w:tc>
      </w:tr>
      <w:tr>
        <w:trPr>
          <w:trHeight w:val="1" w:hRule="atLeast"/>
          <w:jc w:val="left"/>
        </w:trPr>
        <w:tc>
          <w:tcPr>
            <w:tcW w:w="2790" w:type="dxa"/>
            <w:tcBorders>
              <w:top w:val="single" w:color="000000" w:sz="6"/>
              <w:left w:val="single" w:color="000000" w:sz="12"/>
              <w:bottom w:val="single" w:color="000000" w:sz="12"/>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Nosso produto</w:t>
            </w:r>
          </w:p>
        </w:tc>
        <w:tc>
          <w:tcPr>
            <w:tcW w:w="5400" w:type="dxa"/>
            <w:tcBorders>
              <w:top w:val="single" w:color="000000" w:sz="6"/>
              <w:left w:val="single" w:color="000000" w:sz="0"/>
              <w:bottom w:val="single" w:color="000000" w:sz="12"/>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Diversidade e abertura de espaço para novas bandas.</w:t>
            </w:r>
          </w:p>
        </w:tc>
      </w:tr>
    </w:tbl>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p>
      <w:pPr>
        <w:keepNext w:val="true"/>
        <w:numPr>
          <w:ilvl w:val="0"/>
          <w:numId w:val="4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Descrição das partes interessadas</w:t>
      </w:r>
    </w:p>
    <w:p>
      <w:pPr>
        <w:keepNext w:val="true"/>
        <w:numPr>
          <w:ilvl w:val="0"/>
          <w:numId w:val="45"/>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Stakeholder Summary</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tbl>
      <w:tblPr>
        <w:tblInd w:w="828" w:type="dxa"/>
      </w:tblPr>
      <w:tblGrid>
        <w:gridCol w:w="2070"/>
        <w:gridCol w:w="2430"/>
        <w:gridCol w:w="3960"/>
      </w:tblGrid>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Responsibilities</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Usuário Visitante/ não cadastrados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spacing w:val="0"/>
                <w:position w:val="0"/>
                <w:sz w:val="22"/>
                <w:shd w:fill="auto" w:val="clear"/>
              </w:rPr>
            </w:pPr>
            <w:r>
              <w:rPr>
                <w:rFonts w:ascii="Times" w:hAnsi="Times" w:cs="Times" w:eastAsia="Times"/>
                <w:i/>
                <w:color w:val="0000FF"/>
                <w:spacing w:val="0"/>
                <w:position w:val="0"/>
                <w:sz w:val="22"/>
                <w:shd w:fill="auto" w:val="clear"/>
              </w:rPr>
              <w:t xml:space="preserve">Seriam aquelas pessoas que fariam o acesso ao site de forma esporádica. Ela não mantem a frequência de visitas, e muitas vezes não é cadastrada.</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spacing w:val="0"/>
                <w:position w:val="0"/>
                <w:sz w:val="22"/>
                <w:shd w:fill="auto" w:val="clear"/>
              </w:rPr>
            </w:pPr>
            <w:r>
              <w:rPr>
                <w:rFonts w:ascii="Times" w:hAnsi="Times" w:cs="Times" w:eastAsia="Times"/>
                <w:i/>
                <w:color w:val="0000FF"/>
                <w:spacing w:val="0"/>
                <w:position w:val="0"/>
                <w:sz w:val="22"/>
                <w:shd w:fill="auto" w:val="clear"/>
              </w:rPr>
              <w:t xml:space="preserve">Mesmo não sendo assíduodo site, esse grupo de pessoas é de extrema importancia. São “clientes” em potencial, e podem </w:t>
            </w:r>
            <w:r>
              <w:rPr>
                <w:rFonts w:ascii="Times" w:hAnsi="Times" w:cs="Times" w:eastAsia="Times"/>
                <w:i/>
                <w:color w:val="0000FF"/>
                <w:spacing w:val="0"/>
                <w:position w:val="0"/>
                <w:sz w:val="22"/>
                <w:shd w:fill="auto" w:val="clear"/>
              </w:rPr>
              <w:t xml:space="preserve">–</w:t>
            </w:r>
            <w:r>
              <w:rPr>
                <w:rFonts w:ascii="Times" w:hAnsi="Times" w:cs="Times" w:eastAsia="Times"/>
                <w:i/>
                <w:color w:val="0000FF"/>
                <w:spacing w:val="0"/>
                <w:position w:val="0"/>
                <w:sz w:val="22"/>
                <w:shd w:fill="auto" w:val="clear"/>
              </w:rPr>
              <w:t xml:space="preserve"> mesmo não usando </w:t>
            </w:r>
            <w:r>
              <w:rPr>
                <w:rFonts w:ascii="Times" w:hAnsi="Times" w:cs="Times" w:eastAsia="Times"/>
                <w:i/>
                <w:color w:val="0000FF"/>
                <w:spacing w:val="0"/>
                <w:position w:val="0"/>
                <w:sz w:val="22"/>
                <w:shd w:fill="auto" w:val="clear"/>
              </w:rPr>
              <w:t xml:space="preserve">–</w:t>
            </w:r>
            <w:r>
              <w:rPr>
                <w:rFonts w:ascii="Times" w:hAnsi="Times" w:cs="Times" w:eastAsia="Times"/>
                <w:i/>
                <w:color w:val="0000FF"/>
                <w:spacing w:val="0"/>
                <w:position w:val="0"/>
                <w:sz w:val="22"/>
                <w:shd w:fill="auto" w:val="clear"/>
              </w:rPr>
              <w:t xml:space="preserve"> indicar nossos serviços a outros.</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Usuário Frequentes/ Cadastrados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spacing w:val="0"/>
                <w:position w:val="0"/>
                <w:sz w:val="22"/>
                <w:shd w:fill="auto" w:val="clear"/>
              </w:rPr>
            </w:pPr>
            <w:r>
              <w:rPr>
                <w:rFonts w:ascii="Times" w:hAnsi="Times" w:cs="Times" w:eastAsia="Times"/>
                <w:i/>
                <w:color w:val="0000FF"/>
                <w:spacing w:val="0"/>
                <w:position w:val="0"/>
                <w:sz w:val="22"/>
                <w:shd w:fill="auto" w:val="clear"/>
              </w:rPr>
              <w:t xml:space="preserve">Os usuários frequentes que possuem cadastro terão alguns privilégios. Eles poderam guardar playlist, seguir pessoas ou bandas, fazer o download de músicas livras, e se o número de acesso for alto (quantidade a ser decidida), ele poderá ganhar o download da música "privada" mais ouvida por ele. </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spacing w:val="0"/>
                <w:position w:val="0"/>
                <w:sz w:val="22"/>
                <w:shd w:fill="auto" w:val="clear"/>
              </w:rPr>
            </w:pPr>
            <w:r>
              <w:rPr>
                <w:rFonts w:ascii="Times" w:hAnsi="Times" w:cs="Times" w:eastAsia="Times"/>
                <w:i/>
                <w:color w:val="0000FF"/>
                <w:spacing w:val="0"/>
                <w:position w:val="0"/>
                <w:sz w:val="22"/>
                <w:shd w:fill="auto" w:val="clear"/>
              </w:rPr>
              <w:t xml:space="preserve">Esse grupo de usuários saõ de extrema importância, pois eles manterão e ajudarão a aumentar a "rotatividade" nos acessos ao site. Eles poderão permitir que o OPEN BANDS poste atualizações em suas redes sociais, ou então vão mandar indicações para amigos - podendo assim ganhar bônus pelas indicações e nos ajudando na divulgação. </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Bandas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Elas irão poder disponibilizar dois tipos de serviços: música livre ou música paga. Terão seus cadastros diferenciados, e para poder ter suas músicas divulgadas, passarão por um processo de submissão.</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As bandas vão ser responsáveis por oferecer o produto que nós iremos divulgar. Em caso de bandas que já disponibilizam suas músicas livremente - sem cobrança - não haverá sua participação direta.</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[Briefly describe the stakeholder.]</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[Summarize the stakeholder’s key responsibilities with regard to the system being developed; that is, their interest as a stakeholder. For example, this stakeholder:</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ensures that the system will be maintainable</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ensures that there will be a market demand for the product’s features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monitors the project’s progress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approves funding</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and so forth]</w:t>
            </w: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65"/>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User Environment</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[Detail the working environment of the target user. Here are some suggestions: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Number of people involved in completing the task? Is this changing?</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How long is a task cycle? Amount of time spent in each activity? Is this changing?</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Any unique environmental constraints: mobile, outdoors, in-flight, and so on?</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Which system platforms are in use today? Future platforms?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What other applications are in use? Does your application need to integrate with them?</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This is where extracts from the Business Model could be included to outline the task and roles involved, and so on.]</w:t>
      </w:r>
    </w:p>
    <w:p>
      <w:pPr>
        <w:keepNext w:val="true"/>
        <w:numPr>
          <w:ilvl w:val="0"/>
          <w:numId w:val="67"/>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Product Overview</w:t>
      </w:r>
    </w:p>
    <w:p>
      <w:pPr>
        <w:keepNext w:val="true"/>
        <w:numPr>
          <w:ilvl w:val="0"/>
          <w:numId w:val="67"/>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Needs and Features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[Avoid design. Keep feature descriptions at a general level. Focus on capabilities needed and why (not how)</w:t>
        <w:tab/>
        <w:t xml:space="preserve"> they should be implemented.</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Features should not be described in full but instead reference features held in the Work Item List (WIL)]</w:t>
      </w:r>
    </w:p>
    <w:tbl>
      <w:tblPr/>
      <w:tblGrid>
        <w:gridCol w:w="3085"/>
        <w:gridCol w:w="992"/>
        <w:gridCol w:w="1611"/>
        <w:gridCol w:w="2430"/>
      </w:tblGrid>
      <w:tr>
        <w:trPr>
          <w:trHeight w:val="1" w:hRule="atLeast"/>
          <w:jc w:val="left"/>
        </w:trPr>
        <w:tc>
          <w:tcPr>
            <w:tcW w:w="30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Need</w:t>
            </w:r>
          </w:p>
        </w:tc>
        <w:tc>
          <w:tcPr>
            <w:tcW w:w="99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Priority</w:t>
            </w:r>
          </w:p>
        </w:tc>
        <w:tc>
          <w:tcPr>
            <w:tcW w:w="161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Features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Planned Release</w:t>
            </w:r>
          </w:p>
        </w:tc>
      </w:tr>
      <w:tr>
        <w:trPr>
          <w:trHeight w:val="1" w:hRule="atLeast"/>
          <w:jc w:val="left"/>
        </w:trPr>
        <w:tc>
          <w:tcPr>
            <w:tcW w:w="30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61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77"/>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Other Product Requirements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[At a high level, list applicable standards, hardware, or platform requirements; performance requirements; and environmental requirements.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the quality ranges for performance, robustness, fault tolerance, usability, and similar characteristics that are not captured in the Feature Set.</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Note any design constraints, external constraints, assumptions or other dependencies that, if changed, will alter the </w:t>
      </w:r>
      <w:r>
        <w:rPr>
          <w:rFonts w:ascii="Times" w:hAnsi="Times" w:cs="Times" w:eastAsia="Times"/>
          <w:b/>
          <w:i/>
          <w:color w:val="0000FF"/>
          <w:spacing w:val="0"/>
          <w:position w:val="0"/>
          <w:sz w:val="22"/>
          <w:shd w:fill="auto" w:val="clear"/>
        </w:rPr>
        <w:t xml:space="preserve">Vision </w:t>
      </w:r>
      <w:r>
        <w:rPr>
          <w:rFonts w:ascii="Times" w:hAnsi="Times" w:cs="Times" w:eastAsia="Times"/>
          <w:i/>
          <w:color w:val="0000FF"/>
          <w:spacing w:val="0"/>
          <w:position w:val="0"/>
          <w:sz w:val="22"/>
          <w:shd w:fill="auto" w:val="clear"/>
        </w:rPr>
        <w:t xml:space="preserve">document. For example, an assumption may state that a specific operating system will be available for the hardware designated for the software product. If the operating system is not available, the </w:t>
      </w:r>
      <w:r>
        <w:rPr>
          <w:rFonts w:ascii="Times" w:hAnsi="Times" w:cs="Times" w:eastAsia="Times"/>
          <w:b/>
          <w:i/>
          <w:color w:val="0000FF"/>
          <w:spacing w:val="0"/>
          <w:position w:val="0"/>
          <w:sz w:val="22"/>
          <w:shd w:fill="auto" w:val="clear"/>
        </w:rPr>
        <w:t xml:space="preserve">Vision</w:t>
      </w:r>
      <w:r>
        <w:rPr>
          <w:rFonts w:ascii="Times" w:hAnsi="Times" w:cs="Times" w:eastAsia="Times"/>
          <w:i/>
          <w:color w:val="0000FF"/>
          <w:spacing w:val="0"/>
          <w:position w:val="0"/>
          <w:sz w:val="22"/>
          <w:shd w:fill="auto" w:val="clear"/>
        </w:rPr>
        <w:t xml:space="preserve"> document will need to change.</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any specific documentation requirements, including user manuals, online help, installation, labeling, and packaging requirements.</w:t>
      </w:r>
    </w:p>
    <w:p>
      <w:pPr>
        <w:widowControl w:val="false"/>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the priority of these other product requirements. Include, if useful, attributes such as stability, benefit, effort, and risk.]</w:t>
      </w:r>
    </w:p>
    <w:tbl>
      <w:tblPr/>
      <w:tblGrid>
        <w:gridCol w:w="3936"/>
        <w:gridCol w:w="1134"/>
        <w:gridCol w:w="2835"/>
      </w:tblGrid>
      <w:tr>
        <w:trPr>
          <w:trHeight w:val="1" w:hRule="atLeast"/>
          <w:jc w:val="left"/>
        </w:trPr>
        <w:tc>
          <w:tcPr>
            <w:tcW w:w="393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Requirement</w:t>
            </w:r>
          </w:p>
        </w:tc>
        <w:tc>
          <w:tcPr>
            <w:tcW w:w="11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Priority</w:t>
            </w:r>
          </w:p>
        </w:tc>
        <w:tc>
          <w:tcPr>
            <w:tcW w:w="283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Planned Release</w:t>
            </w:r>
          </w:p>
        </w:tc>
      </w:tr>
      <w:tr>
        <w:trPr>
          <w:trHeight w:val="1" w:hRule="atLeast"/>
          <w:jc w:val="left"/>
        </w:trPr>
        <w:tc>
          <w:tcPr>
            <w:tcW w:w="393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83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keepNext w:val="true"/>
        <w:numPr>
          <w:ilvl w:val="0"/>
          <w:numId w:val="8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Lista de casos de uso</w:t>
      </w:r>
    </w:p>
    <w:tbl>
      <w:tblPr/>
      <w:tblGrid>
        <w:gridCol w:w="3166"/>
        <w:gridCol w:w="3167"/>
        <w:gridCol w:w="3167"/>
      </w:tblGrid>
      <w:tr>
        <w:trPr>
          <w:trHeight w:val="1" w:hRule="atLeast"/>
          <w:jc w:val="left"/>
        </w:trPr>
        <w:tc>
          <w:tcPr>
            <w:tcW w:w="3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Nome</w:t>
            </w: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Atores</w:t>
            </w: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Resumo</w:t>
            </w:r>
          </w:p>
        </w:tc>
      </w:tr>
      <w:tr>
        <w:trPr>
          <w:trHeight w:val="1" w:hRule="atLeast"/>
          <w:jc w:val="left"/>
        </w:trPr>
        <w:tc>
          <w:tcPr>
            <w:tcW w:w="3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1"/>
  </w:num>
  <w:num w:numId="4">
    <w:abstractNumId w:val="2"/>
  </w:num>
  <w:num w:numId="45">
    <w:abstractNumId w:val="24"/>
  </w:num>
  <w:num w:numId="65">
    <w:abstractNumId w:val="18"/>
  </w:num>
  <w:num w:numId="67">
    <w:abstractNumId w:val="12"/>
  </w:num>
  <w:num w:numId="77">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