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Комп’ютерні практикуми з кредитного модуля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«Компоненти програмної інженерії - 1. Моделювання та аналіз вимог до програмного забезпечення»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Спеціальність </w:t>
      </w:r>
      <w:r w:rsidDel="00000000" w:rsidR="00000000" w:rsidRPr="00000000">
        <w:rPr>
          <w:b w:val="1"/>
          <w:u w:val="single"/>
          <w:rtl w:val="0"/>
        </w:rPr>
        <w:t xml:space="preserve">121 «Інженерія програмного забезпечення»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Освітня програма </w:t>
      </w:r>
      <w:r w:rsidDel="00000000" w:rsidR="00000000" w:rsidRPr="00000000">
        <w:rPr>
          <w:b w:val="1"/>
          <w:u w:val="single"/>
          <w:rtl w:val="0"/>
        </w:rPr>
        <w:t xml:space="preserve">Інженерія програмного забезпечення комп’ютеризованих систем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навчання </w:t>
      </w:r>
      <w:r w:rsidDel="00000000" w:rsidR="00000000" w:rsidRPr="00000000">
        <w:rPr>
          <w:b w:val="1"/>
          <w:u w:val="single"/>
          <w:rtl w:val="0"/>
        </w:rPr>
        <w:t xml:space="preserve">денна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2020-2021</w:t>
      </w:r>
    </w:p>
    <w:p w:rsidR="00000000" w:rsidDel="00000000" w:rsidP="00000000" w:rsidRDefault="00000000" w:rsidRPr="00000000" w14:paraId="00000007">
      <w:pPr>
        <w:spacing w:after="280"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Комп’ютерний практикум N 6, Варіант 3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Група </w:t>
      </w:r>
      <w:r w:rsidDel="00000000" w:rsidR="00000000" w:rsidRPr="00000000">
        <w:rPr>
          <w:rtl w:val="0"/>
        </w:rPr>
        <w:t xml:space="preserve">ІП-91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Студенти: </w:t>
      </w:r>
      <w:r w:rsidDel="00000000" w:rsidR="00000000" w:rsidRPr="00000000">
        <w:rPr>
          <w:rtl w:val="0"/>
        </w:rPr>
        <w:t xml:space="preserve">Смеречук Адам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Дата представлення відповідей по Комп’ютерному практикуму:</w:t>
      </w:r>
      <w:r w:rsidDel="00000000" w:rsidR="00000000" w:rsidRPr="00000000">
        <w:rPr>
          <w:rtl w:val="0"/>
        </w:rPr>
        <w:t xml:space="preserve"> 20.12.2020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практикуму: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Тестові питання по Області Знань Планування і Моніторинг Процесу розробки вимог (Planning and Monitoring of the Requirements Engineering Process).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Завдання Комп’ютерного практикуму.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Для питань, представлених у нижченаведеній таблиці, вкажіть номери правильних відповідей у графі «Правильна відповідь».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Відповіді повинні визначатися згідно із змістом Керівництва “Business Analysis Body of Knowledge” (BABOK), розділ 3. Business Analysis Planning and Monitoring.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залежності від змісту питань правильними можуть бути вказані одна чи декілька відповідей.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8.236220472443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90.0472440944882"/>
        <w:gridCol w:w="8586.141732283466"/>
        <w:gridCol w:w="1542.0472440944886"/>
        <w:tblGridChange w:id="0">
          <w:tblGrid>
            <w:gridCol w:w="390.0472440944882"/>
            <w:gridCol w:w="8586.141732283466"/>
            <w:gridCol w:w="1542.047244094488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Які із нижче наведених інформаційних об’єктів входять до складу вхідних інформаційних об’єктів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Області Знань Планування і Моніторинг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Analysis Planning and Monitoring):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Стратегія змін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Strategy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Потреби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Юридично-регуляторна інформація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Legal-Regulatory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Цілі функціонування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Objectives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Поточний стан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Яке із наступних тверджень точно (у відповідності із BABOK® Guide) описує мету Задачі 3.1 Планування підходу до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Business Analysis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Спланувати склади робіт по бізнес аналізу та їх результатів, методи управління інформаційними ресурсами та процеси взаємодії із стейкхолдерами.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Визначити прийнятний метод проведення дій по бізнес аналізу.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Визначити методи, якими вимоги до програмного забезпечення будуть виявлятися, моделюватися, пріоритезуватися та підтримуватися в актуальному стані.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Визначити методи планування робіт по бізнес аналізу, методи зберігання та використання інформаційних ресурсів, техніки взаємодії із стейкхолдерами.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початку робіт по проекту Замовник не має точного уявлення щодо повного обсягу функціональностей майбутнього Рішення і бажає почати отримувати цінність від Рішення його поступовою розробкою короткими ітераціями.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 якого підходу до планування робіт необхідно включити в документ «Підхід до бізнес аналізу», що розробляється, як вихідний результат Задачі 3.1 Планування підходу до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Business Analysis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Прогнозний метод планування.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Адаптивний метод планування.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Які із нижче наведених інформаційних об’єктів входять до складу вхідних інформаційних об’єктів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Задачі 3.2 Планування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залучення Стейкхолдера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Stakeholder Engagement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Вимоги стейкхолдерів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 Requirements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Підхід до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Analysis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Стратегія змін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Strategy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Потреби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Стейкхолдери якого типу можуть вимагати включення в роботи по бізнес аналізу інших спеціальних стейкхолдерів в процессах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Задачі 3.2 Планування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залучення Стейкхолдера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Stakeholder Engagement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Керівник проекту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Експерт в Предметній області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Domain Subject Matter Expert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Спонсор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Замовник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Регулятор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Regulator).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3, 5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Які нижче наведені інформаційні об’єкти входять до складу вихідних інформаційних об’єктів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Задачі 3.3 Планування управлінням роботами по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Business Analysis Governance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Підхід до управління змінами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Management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Підхіл до управління прийняттям рішень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Decision-making Management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Підхід до управління роботами по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Governance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Підхід до управління затвердженням результатів проекту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Approval Management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Яке із наступних тверджень точно (у відповідності із BABOK® Guide) описує мету Задачі 3.4 Планування управлінням інформацією по бізнес аналізу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Business Analysis Information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Визначити процеси управління інформацією по бізнес аналізу, включаючи види інформації, опис місць її розміщення та управління доступом до неї.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Визначити, яким чином інформація по бізнес аналізу буде зберігатися і буде доступна.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Визначити структуру інформації по бізнес аналізу, системні засоби по управлінню її розміщенням та повноваження стейкхолдерів щодо доступу до бізнес інформації та порядку внесення змін 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Визначити атрибути, що будуть описувати види інформації по бізнес аналізу, процедури управління зберіганням та доступом до інформації для окремих груп стейкхолдерів, включаючи процедури управління змінами та процедури затвердження вимог и дизайну.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Які із нижче наведених факторів необхідно брати до уваги при виконанні робіт по Задачі 3.4 Планування управлінням інформацією по бізнес аналізу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Business Analysis Information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), щоб найкращим чином структурувати та організувати інформацію по бізнес аналізу: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Типи та обсяги інформації.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Потреби стейкхолдерів щодо доступу до інформації та її використання.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Оцінки трудомісткості робіт по бізнес аналізу.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Розміри та складність змін.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Зв’язки між різними типами інформації.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1, 2, 4, 5</w:t>
            </w:r>
          </w:p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Які із нижче наведених інформаційних об’єктів входять до складу вхідних інформаційних об’єктів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Задачі 3.5 Визначення поліпшення продуктивності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Business Analysis Performance Improvements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Підхід до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Analysis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Потреби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Цілі функціонування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Objectives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Досягнуті показники функціонування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 Business Analysis Performance Rates)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1, 3</w:t>
            </w:r>
          </w:p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Які нижче наведені види дій включаються у вигляді змін в Підхід до бізнес аналізу після проведення оцінки функціонування бізнес аналізу в складі робіт Задачі 3.5 Визначення поліпшення продуктивності бізнес аналізу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Business Analysis Performance Improvements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Профілактичні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(Preventive)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Організаційні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Organizational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Коригуючі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(Corrective),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Адаптивні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Поліпшення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(Improvement).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Правильна відповідь: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1, 3, 5</w:t>
            </w:r>
          </w:p>
          <w:p w:rsidR="00000000" w:rsidDel="00000000" w:rsidP="00000000" w:rsidRDefault="00000000" w:rsidRPr="00000000" w14:paraId="000000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/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</w:rPr>
  </w:style>
  <w:style w:type="paragraph" w:styleId="1">
    <w:name w:val="heading 1"/>
    <w:basedOn w:val="a"/>
    <w:link w:val="10"/>
    <w:uiPriority w:val="9"/>
    <w:qFormat w:val="1"/>
    <w:pPr>
      <w:spacing w:after="100" w:afterAutospacing="1" w:before="100" w:beforeAutospacing="1"/>
      <w:outlineLvl w:val="0"/>
    </w:pPr>
    <w:rPr>
      <w:rFonts w:eastAsiaTheme="minorEastAsia"/>
      <w:b w:val="1"/>
      <w:bCs w:val="1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 w:val="1"/>
    <w:pPr>
      <w:spacing w:after="100" w:afterAutospacing="1" w:before="100" w:beforeAutospacing="1"/>
      <w:outlineLvl w:val="1"/>
    </w:pPr>
    <w:rPr>
      <w:rFonts w:eastAsiaTheme="minorEastAsia"/>
      <w:b w:val="1"/>
      <w:bCs w:val="1"/>
      <w:sz w:val="36"/>
      <w:szCs w:val="3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Pr>
      <w:color w:val="0000ff"/>
      <w:u w:val="single"/>
    </w:rPr>
  </w:style>
  <w:style w:type="character" w:styleId="a4">
    <w:name w:val="FollowedHyperlink"/>
    <w:basedOn w:val="a0"/>
    <w:uiPriority w:val="99"/>
    <w:semiHidden w:val="1"/>
    <w:unhideWhenUsed w:val="1"/>
    <w:rPr>
      <w:color w:val="800080"/>
      <w:u w:val="single"/>
    </w:rPr>
  </w:style>
  <w:style w:type="character" w:styleId="10" w:customStyle="1">
    <w:name w:val="Заголовок 1 Знак"/>
    <w:basedOn w:val="a0"/>
    <w:link w:val="1"/>
    <w:uiPriority w:val="9"/>
    <w:locked w:val="1"/>
    <w:rPr>
      <w:rFonts w:asciiTheme="majorHAnsi" w:cstheme="majorBidi" w:eastAsiaTheme="majorEastAsia" w:hAnsiTheme="majorHAnsi" w:hint="default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locked w:val="1"/>
    <w:rPr>
      <w:rFonts w:asciiTheme="majorHAnsi" w:cstheme="majorBidi" w:eastAsiaTheme="majorEastAsia" w:hAnsiTheme="majorHAnsi" w:hint="default"/>
      <w:color w:val="2f5496" w:themeColor="accent1" w:themeShade="0000BF"/>
      <w:sz w:val="26"/>
      <w:szCs w:val="26"/>
    </w:rPr>
  </w:style>
  <w:style w:type="paragraph" w:styleId="msonormal0" w:customStyle="1">
    <w:name w:val="msonormal"/>
    <w:basedOn w:val="a"/>
    <w:uiPriority w:val="99"/>
    <w:semiHidden w:val="1"/>
    <w:pPr>
      <w:spacing w:after="100" w:afterAutospacing="1" w:before="100" w:beforeAutospacing="1"/>
    </w:pPr>
  </w:style>
  <w:style w:type="paragraph" w:styleId="a5">
    <w:name w:val="Normal (Web)"/>
    <w:basedOn w:val="a"/>
    <w:uiPriority w:val="99"/>
    <w:semiHidden w:val="1"/>
    <w:unhideWhenUsed w:val="1"/>
    <w:pPr>
      <w:spacing w:after="100" w:afterAutospacing="1" w:before="100" w:beforeAutospacing="1"/>
    </w:pPr>
    <w:rPr>
      <w:rFonts w:eastAsiaTheme="minorEastAsia"/>
    </w:rPr>
  </w:style>
  <w:style w:type="paragraph" w:styleId="a6">
    <w:name w:val="header"/>
    <w:basedOn w:val="a"/>
    <w:link w:val="a7"/>
    <w:uiPriority w:val="99"/>
    <w:unhideWhenUsed w:val="1"/>
    <w:pPr>
      <w:tabs>
        <w:tab w:val="center" w:pos="4680"/>
        <w:tab w:val="right" w:pos="9360"/>
      </w:tabs>
    </w:pPr>
  </w:style>
  <w:style w:type="character" w:styleId="a7" w:customStyle="1">
    <w:name w:val="Верхний колонтитул Знак"/>
    <w:basedOn w:val="a0"/>
    <w:link w:val="a6"/>
    <w:uiPriority w:val="99"/>
    <w:locked w:val="1"/>
    <w:rPr>
      <w:sz w:val="24"/>
      <w:szCs w:val="24"/>
    </w:rPr>
  </w:style>
  <w:style w:type="paragraph" w:styleId="a8">
    <w:name w:val="List Paragraph"/>
    <w:basedOn w:val="a"/>
    <w:uiPriority w:val="34"/>
    <w:semiHidden w:val="1"/>
    <w:qFormat w:val="1"/>
    <w:pPr>
      <w:ind w:left="720"/>
      <w:contextualSpacing w:val="1"/>
    </w:pPr>
  </w:style>
  <w:style w:type="paragraph" w:styleId="auto-cursor-target" w:customStyle="1">
    <w:name w:val="auto-cursor-target"/>
    <w:basedOn w:val="a"/>
    <w:uiPriority w:val="99"/>
    <w:semiHidden w:val="1"/>
    <w:pPr>
      <w:spacing w:after="100" w:afterAutospacing="1" w:before="100" w:beforeAutospacing="1"/>
    </w:pPr>
    <w:rPr>
      <w:rFonts w:eastAsiaTheme="minorEastAsia"/>
    </w:rPr>
  </w:style>
  <w:style w:type="character" w:styleId="Heading1Char" w:customStyle="1">
    <w:name w:val="Heading 1 Char"/>
    <w:basedOn w:val="a0"/>
    <w:link w:val="Heading1"/>
    <w:uiPriority w:val="9"/>
    <w:locked w:val="1"/>
    <w:rPr>
      <w:rFonts w:asciiTheme="majorHAnsi" w:cstheme="majorBidi" w:eastAsiaTheme="majorEastAsia" w:hAnsiTheme="majorHAnsi" w:hint="default"/>
      <w:color w:val="2f5496" w:themeColor="accent1" w:themeShade="0000BF"/>
      <w:sz w:val="32"/>
      <w:szCs w:val="32"/>
    </w:rPr>
  </w:style>
  <w:style w:type="paragraph" w:styleId="Heading1" w:customStyle="1">
    <w:name w:val="Heading 1"/>
    <w:basedOn w:val="a"/>
    <w:link w:val="Heading1Char"/>
    <w:uiPriority w:val="99"/>
    <w:semiHidden w:val="1"/>
  </w:style>
  <w:style w:type="character" w:styleId="Heading2Char" w:customStyle="1">
    <w:name w:val="Heading 2 Char"/>
    <w:basedOn w:val="a0"/>
    <w:link w:val="Heading2"/>
    <w:uiPriority w:val="9"/>
    <w:semiHidden w:val="1"/>
    <w:locked w:val="1"/>
    <w:rPr>
      <w:rFonts w:asciiTheme="majorHAnsi" w:cstheme="majorBidi" w:eastAsiaTheme="majorEastAsia" w:hAnsiTheme="majorHAnsi" w:hint="default"/>
      <w:color w:val="2f5496" w:themeColor="accent1" w:themeShade="0000BF"/>
      <w:sz w:val="26"/>
      <w:szCs w:val="26"/>
    </w:rPr>
  </w:style>
  <w:style w:type="paragraph" w:styleId="Heading2" w:customStyle="1">
    <w:name w:val="Heading 2"/>
    <w:basedOn w:val="a"/>
    <w:link w:val="Heading2Char"/>
    <w:uiPriority w:val="99"/>
    <w:semiHidden w:val="1"/>
  </w:style>
  <w:style w:type="character" w:styleId="HeaderChar" w:customStyle="1">
    <w:name w:val="Header Char"/>
    <w:basedOn w:val="a0"/>
    <w:link w:val="Header"/>
    <w:uiPriority w:val="99"/>
    <w:locked w:val="1"/>
    <w:rPr>
      <w:sz w:val="24"/>
      <w:szCs w:val="24"/>
    </w:rPr>
  </w:style>
  <w:style w:type="paragraph" w:styleId="Header" w:customStyle="1">
    <w:name w:val="Header"/>
    <w:basedOn w:val="a"/>
    <w:link w:val="HeaderChar"/>
    <w:uiPriority w:val="99"/>
    <w:semiHidden w:val="1"/>
  </w:style>
  <w:style w:type="table" w:styleId="TableNormal" w:customStyle="1">
    <w:name w:val="Table Normal"/>
    <w:uiPriority w:val="99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9">
    <w:name w:val="page number"/>
    <w:basedOn w:val="a0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HDa0zJS6rKcg5J3pqLPngrpLg==">AMUW2mVCUVy/KpfCfsuOpvHcUZ/y1435r4LQExwogFt7qNmcfS+OArFB7PvttSR7suCE/zTJ2OWMSYIT6NZUtIptKeiXEC1kBeFhqQ7eawN9JtdFnFoRPBPA5by+4Zc6396SVsbWHnfL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2020-11-29T21:52:00Z</dcterms:created>
  <dc:creator>Volodymyr Savenko</dc:creator>
</cp:coreProperties>
</file>