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32B5C"/>
          <w:sz w:val="28"/>
          <w:szCs w:val="28"/>
        </w:rPr>
        <w:t xml:space="preserve">Universidad Mariano Gálvez de Guatemala</w:t>
      </w:r>
    </w:p>
    <w:p>
      <w:pPr>
        <w:spacing w:after="80"/>
        <w:jc w:val="center"/>
      </w:pPr>
      <w:r>
        <w:rPr>
          <w:sz w:val="24"/>
          <w:szCs w:val="24"/>
        </w:rPr>
        <w:t xml:space="preserve">Facultad de Ingeniería en Sistemas de Información</w:t>
      </w:r>
    </w:p>
    <w:p>
      <w:pPr>
        <w:spacing w:after="80"/>
        <w:jc w:val="center"/>
      </w:pPr>
      <w:r>
        <w:rPr>
          <w:sz w:val="24"/>
          <w:szCs w:val="24"/>
        </w:rPr>
        <w:t xml:space="preserve">Centro Regional de Mazatenango</w:t>
      </w:r>
    </w:p>
    <w:p>
      <w:pPr>
        <w:spacing w:after="80"/>
        <w:jc w:val="center"/>
      </w:pPr>
      <w:r>
        <w:rPr>
          <w:sz w:val="24"/>
          <w:szCs w:val="24"/>
        </w:rPr>
        <w:t xml:space="preserve">Curso: Análisis y Diseño de Sistemas II</w:t>
      </w:r>
    </w:p>
    <w:p>
      <w:pPr>
        <w:spacing w:after="900"/>
        <w:jc w:val="center"/>
      </w:pPr>
      <w:r>
        <w:rPr>
          <w:sz w:val="24"/>
          <w:szCs w:val="24"/>
        </w:rPr>
        <w:t xml:space="preserve">Catedrático: Ing. Angel Atilio Maltez C.</w:t>
      </w:r>
    </w:p>
    <w:p>
      <w:pPr>
        <w:pBdr>
          <w:bottom w:val="single" w:color="E07A5F" w:sz="12" w:space="6"/>
        </w:pBdr>
        <w:spacing w:after="300"/>
        <w:jc w:val="center"/>
      </w:pPr>
    </w:p>
    <w:p>
      <w:pPr>
        <w:spacing w:after="160"/>
        <w:jc w:val="center"/>
      </w:pPr>
      <w:r>
        <w:rPr>
          <w:b/>
          <w:bCs/>
          <w:color w:val="232B5C"/>
          <w:sz w:val="44"/>
          <w:szCs w:val="44"/>
        </w:rPr>
        <w:t xml:space="preserve">Fase de Diseño</w:t>
      </w:r>
    </w:p>
    <w:p>
      <w:pPr>
        <w:spacing w:after="120"/>
        <w:jc w:val="center"/>
      </w:pPr>
      <w:r>
        <w:rPr>
          <w:color w:val="4651C9"/>
          <w:sz w:val="28"/>
          <w:szCs w:val="28"/>
        </w:rPr>
        <w:t xml:space="preserve">Sistema de Gestión del Asilo de Ancianos «Cabeza de Algodón»</w:t>
      </w:r>
    </w:p>
    <w:p>
      <w:pPr>
        <w:spacing w:after="1600"/>
        <w:jc w:val="center"/>
      </w:pPr>
      <w:r>
        <w:rPr>
          <w:i/>
          <w:iCs/>
          <w:color w:val="646A85"/>
          <w:sz w:val="22"/>
          <w:szCs w:val="22"/>
        </w:rPr>
        <w:t xml:space="preserve">Proyecto final · actualizada a la línea base ERS v3.0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Gilmer Iván Ortiz Samayoa</w:t>
      </w:r>
    </w:p>
    <w:p>
      <w:pPr>
        <w:spacing w:after="600"/>
        <w:jc w:val="center"/>
      </w:pPr>
      <w:r>
        <w:rPr>
          <w:sz w:val="24"/>
          <w:szCs w:val="24"/>
        </w:rPr>
        <w:t xml:space="preserve">Carné: 3090-23-12685</w:t>
      </w:r>
    </w:p>
    <w:p>
      <w:pPr>
        <w:spacing w:after="80"/>
        <w:jc w:val="center"/>
      </w:pPr>
      <w:r>
        <w:rPr>
          <w:sz w:val="24"/>
          <w:szCs w:val="24"/>
        </w:rPr>
        <w:t xml:space="preserve">Mazatenango, Suchitepéquez, 30 de octubre de 2026</w:t>
      </w:r>
    </w:p>
    <w:p>
      <w:r>
        <w:br w:type="page"/>
      </w:r>
    </w:p>
    <w:p>
      <w:pPr>
        <w:spacing w:after="200"/>
      </w:pPr>
      <w:r>
        <w:rPr>
          <w:b/>
          <w:bCs/>
          <w:color w:val="232B5C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Planificación del trabajo</w:t>
      </w:r>
    </w:p>
    <w:p>
      <w:pPr>
        <w:pStyle w:val="Heading2"/>
      </w:pPr>
      <w:r>
        <w:t xml:space="preserve">1.1 Metodología</w:t>
      </w:r>
    </w:p>
    <w:p>
      <w:pPr>
        <w:spacing w:after="120" w:line="276"/>
        <w:jc w:val="both"/>
      </w:pPr>
      <w:r>
        <w:t xml:space="preserve">El proyecto lo desarrolla una sola persona, por lo que se eligió un </w:t>
      </w:r>
      <w:r>
        <w:rPr>
          <w:b/>
          <w:bCs/>
        </w:rPr>
        <w:t xml:space="preserve">modelo incremental con iteraciones de dos semanas</w:t>
      </w:r>
      <w:r>
        <w:t xml:space="preserve">. Al final de cada iteración queda una parte del sistema funcionando y revisable, en lugar de probar todo al final. Cada iteración repite cuatro pasos: </w:t>
      </w:r>
      <w:r>
        <w:rPr>
          <w:b/>
          <w:bCs/>
        </w:rPr>
        <w:t xml:space="preserve">requerimiento</w:t>
      </w:r>
      <w:r>
        <w:t xml:space="preserve"> (se eligen de la ERS los RF a trabajar), </w:t>
      </w:r>
      <w:r>
        <w:rPr>
          <w:b/>
          <w:bCs/>
        </w:rPr>
        <w:t xml:space="preserve">desarrollo</w:t>
      </w:r>
      <w:r>
        <w:t xml:space="preserve"> (código y script SQL), </w:t>
      </w:r>
      <w:r>
        <w:rPr>
          <w:b/>
          <w:bCs/>
        </w:rPr>
        <w:t xml:space="preserve">prueba</w:t>
      </w:r>
      <w:r>
        <w:t xml:space="preserve"> (casos de prueba con evidencia) y </w:t>
      </w:r>
      <w:r>
        <w:rPr>
          <w:b/>
          <w:bCs/>
        </w:rPr>
        <w:t xml:space="preserve">revisión SQA</w:t>
      </w:r>
      <w:r>
        <w:t xml:space="preserve">.</w:t>
      </w:r>
    </w:p>
    <w:p>
      <w:pPr>
        <w:spacing w:after="120" w:line="276"/>
        <w:jc w:val="both"/>
      </w:pPr>
      <w:r>
        <w:rPr>
          <w:b/>
          <w:bCs/>
        </w:rPr>
        <w:t xml:space="preserve">Definición de terminado.</w:t>
      </w:r>
      <w:r>
        <w:t xml:space="preserve"> Un entregable está listo cuando tiene su requerimiento escrito en la ERS, el código y el script SQL al día, su caso de prueba ejecutado con evidencia y una revisión SQA sin hallazgos importantes pendientes.</w:t>
      </w:r>
    </w:p>
    <w:p>
      <w:pPr>
        <w:spacing w:after="120" w:line="276"/>
        <w:jc w:val="both"/>
      </w:pPr>
      <w:r>
        <w:rPr>
          <w:b/>
          <w:bCs/>
        </w:rPr>
        <w:t xml:space="preserve">Control de cambios.</w:t>
      </w:r>
      <w:r>
        <w:t xml:space="preserve"> Todo cambio de alcance se anota como versión nueva en la tabla de control de versiones de la ERS, indicando qué requerimientos, casos de uso, tablas y pruebas afecta. Lo aprobado entra en la siguiente iteración; lo demás queda para la fase 2.</w:t>
      </w:r>
    </w:p>
    <w:p>
      <w:pPr>
        <w:pStyle w:val="Heading2"/>
      </w:pPr>
      <w:r>
        <w:t xml:space="preserve">1.2 Recursos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5"/>
        <w:gridCol w:w="7045"/>
      </w:tblGrid>
      <w:tr>
        <w:trPr>
          <w:cantSplit/>
          <w:tblHeader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Recurso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Humano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Gilmer Iván Ortiz Samayoa: análisis, diseño, desarrollo, pruebas y documentación. Revisión de calidad: analista SQA del curso.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Equipo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Computadora personal para desarrollo; computadora del asilo o hosting para el despliegue.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Software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XAMPP (Apache, PHP 8, MariaDB, phpMyAdmin), navegador Chrome/Edge/Firefox, Python 3 con Playwright, Microsoft Word y Excel. Repositorio en GitHub para publicar el código.</w:t>
            </w:r>
          </w:p>
        </w:tc>
      </w:tr>
      <w:tr>
        <w:trPr>
          <w:cantSplit/>
          <w:tblHeader w:val="off"/>
        </w:trPr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Información</w:t>
            </w:r>
          </w:p>
        </w:tc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Necesidades del asilo, informe preliminar de revisión SQA (hallazgos H-01 a H-10).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1.3 Dedicación y capacidad</w:t>
      </w:r>
    </w:p>
    <w:p>
      <w:pPr>
        <w:spacing w:after="120" w:line="276"/>
        <w:jc w:val="both"/>
      </w:pPr>
      <w:r>
        <w:t xml:space="preserve">La disponibilidad es de </w:t>
      </w:r>
      <w:r>
        <w:rPr>
          <w:b/>
          <w:bCs/>
        </w:rPr>
        <w:t xml:space="preserve">15 a 18 horas semanales</w:t>
      </w:r>
      <w:r>
        <w:t xml:space="preserve"> durante 13 semanas (24/08/2026 al 20/11/2026), con un total planificado de </w:t>
      </w:r>
      <w:r>
        <w:rPr>
          <w:b/>
          <w:bCs/>
        </w:rPr>
        <w:t xml:space="preserve">230 horas</w:t>
      </w:r>
      <w:r>
        <w:t xml:space="preserve">: 54 de pruebas y 26 de revisión SQA repartidas en todas las iteraciones, y 4 de holgura en la iteración 6. El archivo Planificacion_Asilo_Cabeza_de_Algodon_v3.xlsx comprueba la suma con una fórmula.</w:t>
      </w:r>
    </w:p>
    <w:p>
      <w:pPr>
        <w:pStyle w:val="Heading2"/>
      </w:pPr>
      <w:r>
        <w:t xml:space="preserve">1.4 Plan de iteraciones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7"/>
        <w:gridCol w:w="1711"/>
        <w:gridCol w:w="5535"/>
        <w:gridCol w:w="1007"/>
      </w:tblGrid>
      <w:tr>
        <w:trPr>
          <w:cantSplit/>
          <w:tblHeader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Iteración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Fechas</w:t>
            </w:r>
          </w:p>
        </w:tc>
        <w:tc>
          <w:tcPr>
            <w:tcW w:type="dxa" w:w="553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10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Horas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I1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24/08 – 04/09</w:t>
            </w:r>
          </w:p>
        </w:tc>
        <w:tc>
          <w:tcPr>
            <w:tcW w:type="dxa" w:w="553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Análisis y línea base</w:t>
            </w:r>
          </w:p>
        </w:tc>
        <w:tc>
          <w:tcPr>
            <w:tcW w:type="dxa" w:w="10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I2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07/09 – 18/09</w:t>
            </w:r>
          </w:p>
        </w:tc>
        <w:tc>
          <w:tcPr>
            <w:tcW w:type="dxa" w:w="553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Modelo de datos y prototipo de pantallas</w:t>
            </w:r>
          </w:p>
        </w:tc>
        <w:tc>
          <w:tcPr>
            <w:tcW w:type="dxa" w:w="10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I3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21/09 – 02/10</w:t>
            </w:r>
          </w:p>
        </w:tc>
        <w:tc>
          <w:tcPr>
            <w:tcW w:type="dxa" w:w="553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Seguridad, usuarios, residentes y habitaciones</w:t>
            </w:r>
          </w:p>
        </w:tc>
        <w:tc>
          <w:tcPr>
            <w:tcW w:type="dxa" w:w="10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I4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05/10 – 16/10</w:t>
            </w:r>
          </w:p>
        </w:tc>
        <w:tc>
          <w:tcPr>
            <w:tcW w:type="dxa" w:w="553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Atención médica: ficha, signos, citas, laboratorio, medicamentos</w:t>
            </w:r>
          </w:p>
        </w:tc>
        <w:tc>
          <w:tcPr>
            <w:tcW w:type="dxa" w:w="10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I5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19/10 – 30/10</w:t>
            </w:r>
          </w:p>
        </w:tc>
        <w:tc>
          <w:tcPr>
            <w:tcW w:type="dxa" w:w="553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Farmacia, facturación, reportes, panel y API MySQL; atención del informe SQA</w:t>
            </w:r>
          </w:p>
        </w:tc>
        <w:tc>
          <w:tcPr>
            <w:tcW w:type="dxa" w:w="10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I6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02/11 – 13/11</w:t>
            </w:r>
          </w:p>
        </w:tc>
        <w:tc>
          <w:tcPr>
            <w:tcW w:type="dxa" w:w="553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Despliegue, pruebas de aceptación y cierre de hallazgos</w:t>
            </w:r>
          </w:p>
        </w:tc>
        <w:tc>
          <w:tcPr>
            <w:tcW w:type="dxa" w:w="10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16/11 – 20/11</w:t>
            </w:r>
          </w:p>
        </w:tc>
        <w:tc>
          <w:tcPr>
            <w:tcW w:type="dxa" w:w="553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Manuales, documentación final y exposición</w:t>
            </w:r>
          </w:p>
        </w:tc>
        <w:tc>
          <w:tcPr>
            <w:tcW w:type="dxa" w:w="10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13 semanas</w:t>
            </w:r>
          </w:p>
        </w:tc>
        <w:tc>
          <w:tcPr>
            <w:tcW w:type="dxa" w:w="553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0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230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1.5 Hitos de revisión SQA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"/>
        <w:gridCol w:w="1006"/>
        <w:gridCol w:w="2617"/>
        <w:gridCol w:w="4831"/>
      </w:tblGrid>
      <w:tr>
        <w:trPr>
          <w:cantSplit/>
          <w:tblHeader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10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se revisa</w:t>
            </w:r>
          </w:p>
        </w:tc>
        <w:tc>
          <w:tcPr>
            <w:tcW w:type="dxa" w:w="48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 para aprobar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SQA 1</w:t>
            </w:r>
          </w:p>
        </w:tc>
        <w:tc>
          <w:tcPr>
            <w:tcW w:type="dxa" w:w="10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04/09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Alcance y ERS</w:t>
            </w:r>
          </w:p>
        </w:tc>
        <w:tc>
          <w:tcPr>
            <w:tcW w:type="dxa" w:w="48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Cada RF es claro, único y verificable; alcance v1 y fase 2 definidos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SQA 2</w:t>
            </w:r>
          </w:p>
        </w:tc>
        <w:tc>
          <w:tcPr>
            <w:tcW w:type="dxa" w:w="10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18/09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Modelo de datos</w:t>
            </w:r>
          </w:p>
        </w:tc>
        <w:tc>
          <w:tcPr>
            <w:tcW w:type="dxa" w:w="48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script SQL coincide con el diccionario de datos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SQA 3</w:t>
            </w:r>
          </w:p>
        </w:tc>
        <w:tc>
          <w:tcPr>
            <w:tcW w:type="dxa" w:w="10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02/10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Seguridad y residentes</w:t>
            </w:r>
          </w:p>
        </w:tc>
        <w:tc>
          <w:tcPr>
            <w:tcW w:type="dxa" w:w="48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PV-01 a PV-18 y CP-01 a CP-07 aprobadas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SQA 4</w:t>
            </w:r>
          </w:p>
        </w:tc>
        <w:tc>
          <w:tcPr>
            <w:tcW w:type="dxa" w:w="10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16/10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Atención médica</w:t>
            </w:r>
          </w:p>
        </w:tc>
        <w:tc>
          <w:tcPr>
            <w:tcW w:type="dxa" w:w="48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CP-08 a CP-10 y CP-15 a CP-18 aprobados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SQA 5</w:t>
            </w:r>
          </w:p>
        </w:tc>
        <w:tc>
          <w:tcPr>
            <w:tcW w:type="dxa" w:w="10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30/10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Administración y hallazgos</w:t>
            </w:r>
          </w:p>
        </w:tc>
        <w:tc>
          <w:tcPr>
            <w:tcW w:type="dxa" w:w="48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Respuesta a H-01 a H-10 con evidencia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SQA 6</w:t>
            </w:r>
          </w:p>
        </w:tc>
        <w:tc>
          <w:tcPr>
            <w:tcW w:type="dxa" w:w="10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13/11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Verificación en ejecución</w:t>
            </w:r>
          </w:p>
        </w:tc>
        <w:tc>
          <w:tcPr>
            <w:tcW w:type="dxa" w:w="48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Hallazgos cerrados por el analista SQA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0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20/11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Documentación final</w:t>
            </w:r>
          </w:p>
        </w:tc>
        <w:tc>
          <w:tcPr>
            <w:tcW w:type="dxa" w:w="483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Control de versiones actualizado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2. Arquitectura</w:t>
      </w:r>
    </w:p>
    <w:p>
      <w:pPr>
        <w:pStyle w:val="Heading2"/>
      </w:pPr>
      <w:r>
        <w:t xml:space="preserve">2.1 Estilo arquitectónico</w:t>
      </w:r>
    </w:p>
    <w:p>
      <w:pPr>
        <w:spacing w:after="120" w:line="276"/>
        <w:jc w:val="both"/>
      </w:pPr>
      <w:r>
        <w:t xml:space="preserve">Cliente-servidor en </w:t>
      </w:r>
      <w:r>
        <w:rPr>
          <w:b/>
          <w:bCs/>
        </w:rPr>
        <w:t xml:space="preserve">tres capas</w:t>
      </w:r>
      <w:r>
        <w:t xml:space="preserve"> (presentación, lógica de negocio y datos). La comunicación entre la página y el servidor es HTTP con cuerpos JSON hacia un único punto de entrada, api/api.php, que recibe la acción en el parámetro accion.</w:t>
      </w:r>
    </w:p>
    <w:p>
      <w:pPr>
        <w:pStyle w:val="Heading2"/>
      </w:pPr>
      <w:r>
        <w:t xml:space="preserve">2.2 Vista lógica</w:t>
      </w:r>
    </w:p>
    <w:p>
      <w:pPr>
        <w:spacing w:after="60" w:before="120"/>
        <w:jc w:val="center"/>
      </w:pPr>
      <w:r>
        <w:drawing>
          <wp:inline distT="0" distB="0" distL="0" distR="0">
            <wp:extent cx="4933950" cy="4657725"/>
            <wp:effectExtent t="0" r="0" b="0" l="0"/>
            <wp:docPr id="1" name="fig" descr="Figura 1. Vista lógica en tres capas" title="Figura 1. Vista lógica en tres cap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1. Vista lógica en tres capas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2"/>
        <w:gridCol w:w="5032"/>
        <w:gridCol w:w="2516"/>
      </w:tblGrid>
      <w:tr>
        <w:trPr>
          <w:cantSplit/>
          <w:tblHeader/>
        </w:trPr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 de la API</w:t>
            </w:r>
          </w:p>
        </w:tc>
        <w:tc>
          <w:tcPr>
            <w:tcW w:type="dxa" w:w="50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Quién puede</w:t>
            </w:r>
          </w:p>
        </w:tc>
      </w:tr>
      <w:tr>
        <w:trPr>
          <w:cantSplit/>
          <w:tblHeader w:val="off"/>
        </w:trPr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estado / publico</w:t>
            </w:r>
          </w:p>
        </w:tc>
        <w:tc>
          <w:tcPr>
            <w:tcW w:type="dxa" w:w="50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Indica si hay base de datos disponible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Cualquiera</w:t>
            </w:r>
          </w:p>
        </w:tc>
      </w:tr>
      <w:tr>
        <w:trPr>
          <w:cantSplit/>
          <w:tblHeader w:val="off"/>
        </w:trPr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</w:t>
            </w:r>
          </w:p>
        </w:tc>
        <w:tc>
          <w:tcPr>
            <w:tcW w:type="dxa" w:w="50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 usuario y contraseña con PBKDF2, aplica el bloqueo y abre la sesión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Cualquiera</w:t>
            </w:r>
          </w:p>
        </w:tc>
      </w:tr>
      <w:tr>
        <w:trPr>
          <w:cantSplit/>
          <w:tblHeader w:val="off"/>
        </w:trPr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verificar</w:t>
            </w:r>
          </w:p>
        </w:tc>
        <w:tc>
          <w:tcPr>
            <w:tcW w:type="dxa" w:w="50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Devuelve la sesión actual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 sesión</w:t>
            </w:r>
          </w:p>
        </w:tc>
      </w:tr>
      <w:tr>
        <w:trPr>
          <w:cantSplit/>
          <w:tblHeader w:val="off"/>
        </w:trPr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mi_clave</w:t>
            </w:r>
          </w:p>
        </w:tc>
        <w:tc>
          <w:tcPr>
            <w:tcW w:type="dxa" w:w="50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Cambia la contraseña propia o la temporal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 sesión</w:t>
            </w:r>
          </w:p>
        </w:tc>
      </w:tr>
      <w:tr>
        <w:trPr>
          <w:cantSplit/>
          <w:tblHeader w:val="off"/>
        </w:trPr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cargar</w:t>
            </w:r>
          </w:p>
        </w:tc>
        <w:tc>
          <w:tcPr>
            <w:tcW w:type="dxa" w:w="50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Entrega los datos permitidos para el rol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 sesión y contraseña no temporal</w:t>
            </w:r>
          </w:p>
        </w:tc>
      </w:tr>
      <w:tr>
        <w:trPr>
          <w:cantSplit/>
          <w:tblHeader w:val="off"/>
        </w:trPr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sincronizar</w:t>
            </w:r>
          </w:p>
        </w:tc>
        <w:tc>
          <w:tcPr>
            <w:tcW w:type="dxa" w:w="50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Guarda altas, cambios y bajas dentro de una transacción; revisa permisos y reglas de servidor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Según la tabla y el rol</w:t>
            </w:r>
          </w:p>
        </w:tc>
      </w:tr>
      <w:tr>
        <w:trPr>
          <w:cantSplit/>
          <w:tblHeader w:val="off"/>
        </w:trPr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vaciar</w:t>
            </w:r>
          </w:p>
        </w:tc>
        <w:tc>
          <w:tcPr>
            <w:tcW w:type="dxa" w:w="50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Restablece los datos iniciales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Solo Administrador</w:t>
            </w:r>
          </w:p>
        </w:tc>
      </w:tr>
      <w:tr>
        <w:trPr>
          <w:cantSplit/>
          <w:tblHeader w:val="off"/>
        </w:trPr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salir</w:t>
            </w:r>
          </w:p>
        </w:tc>
        <w:tc>
          <w:tcPr>
            <w:tcW w:type="dxa" w:w="50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Destruye la sesión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 sesión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Entornos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3321"/>
        <w:gridCol w:w="4328"/>
      </w:tblGrid>
      <w:tr>
        <w:trPr>
          <w:cantSplit/>
          <w:tblHeader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Entorno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Configuración</w:t>
            </w:r>
          </w:p>
        </w:tc>
      </w:tr>
      <w:tr>
        <w:trPr>
          <w:cantSplit/>
          <w:tblHeader w:val="off"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Demostración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Practicar y presentar sin servidor</w:t>
            </w:r>
          </w:p>
        </w:tc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Abrir index.html; datos de prueba en el navegador</w:t>
            </w:r>
          </w:p>
        </w:tc>
      </w:tr>
      <w:tr>
        <w:trPr>
          <w:cantSplit/>
          <w:tblHeader w:val="off"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Desarrollo y pruebas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Programar y ejecutar las pruebas automatizadas</w:t>
            </w:r>
          </w:p>
        </w:tc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XAMPP local con la base importada desde 01, 02 y 03 .sql</w:t>
            </w:r>
          </w:p>
        </w:tc>
      </w:tr>
      <w:tr>
        <w:trPr>
          <w:cantSplit/>
          <w:tblHeader w:val="off"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Producción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Uso real del asilo</w:t>
            </w:r>
          </w:p>
        </w:tc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XAMPP en la red local u hosting con HTTPS (scripts de basedatos/hosting)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2.4 Nube o servidor propio</w:t>
      </w:r>
    </w:p>
    <w:p>
      <w:pPr>
        <w:spacing w:after="120" w:line="276"/>
        <w:jc w:val="both"/>
      </w:pPr>
      <w:r>
        <w:t xml:space="preserve">Se dejan preparadas las dos opciones. El </w:t>
      </w:r>
      <w:r>
        <w:rPr>
          <w:b/>
          <w:bCs/>
        </w:rPr>
        <w:t xml:space="preserve">servidor propio</w:t>
      </w:r>
      <w:r>
        <w:t xml:space="preserve"> (XAMPP en una computadora del asilo) no tiene costo mensual y funciona sin Internet dentro de la red local, pero depende de que ese equipo esté encendido y respaldado. El </w:t>
      </w:r>
      <w:r>
        <w:rPr>
          <w:b/>
          <w:bCs/>
        </w:rPr>
        <w:t xml:space="preserve">hosting</w:t>
      </w:r>
      <w:r>
        <w:t xml:space="preserve"> da acceso desde cualquier lugar con HTTPS y respaldo del proveedor, a cambio de una mensualidad. La decisión final corresponde a la administración del asilo; la iteración 6 contempla el despliegue y su prueba (RNF-04 y RNF-08).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1895475"/>
            <wp:effectExtent t="0" r="0" b="0" l="0"/>
            <wp:docPr id="2" name="fig" descr="Figura 2. Arquitectura de despliegue" title="Figura 2. Arquitectura de desplieg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2. Arquitectura de despliegue</w:t>
      </w:r>
    </w:p>
    <w:p>
      <w:pPr>
        <w:pStyle w:val="Heading2"/>
      </w:pPr>
      <w:r>
        <w:t xml:space="preserve">2.5 Pasos de despliegue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Copiar la carpeta Sistema en C:\xampp\htdocs (o en public_html del hosting).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Importar en phpMyAdmin, en orden, 01_esquema.sql, 02_datos.sql y 03_consultas.sql (en hosting, los archivos de basedatos/hosting, que no crean la base).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Revisar los datos de conexión en api/config.php.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Abrir http://localhost/Sistema/ (o el dominio con https) y entrar con la contraseña temporal del administrador, que se entrega por separado; el sistema obliga a cambiarla.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Crear las cuentas del personal desde Usuarios.</w:t>
      </w:r>
    </w:p>
    <w:p>
      <w:pPr>
        <w:pStyle w:val="Heading2"/>
      </w:pPr>
      <w:r>
        <w:t xml:space="preserve">2.6 Disponibilidad, rendimiento y respaldos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Disponibilidad objetivo: lunes a sábado de 07:00 a 18:00 con 99 % del horario (RNF-04, propuesto).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Rendimiento: búsquedas y listados en menos de 2 s con hasta 200 residentes (RNF-05); medido 0.03 s con los datos de prueba.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Respaldos: exportación semanal desde phpMyAdmin y descarga JSON desde el módulo Usuarios (RF-24).</w:t>
      </w:r>
    </w:p>
    <w:p>
      <w:pPr>
        <w:pStyle w:val="Heading2"/>
      </w:pPr>
      <w:r>
        <w:t xml:space="preserve">2.7 Seguridad en la arquitectura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Contraseñas con PBKDF2-SHA256, 100 000 iteraciones y sal de 16 bytes; el hash lo calcula PHP y la página nunca lo recibe.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Contraseñas iniciales temporales con cambio obligatorio; mientras tanto el servidor no entrega datos (HTTP 403).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Bloqueo de 30 s tras 3 intentos fallidos y registro de cada intento con la IP.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Sesión renovada al entrar (session_regenerate_id) y cierre por inactividad de 30 minutos en la página.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Permisos por rol revisados en el servidor (HTTP 403) y transacciones en cada guardado.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HTTPS obligatorio en hosting; ninguna credencial en documentos ni pantallas.</w:t>
      </w:r>
    </w:p>
    <w:p>
      <w:pPr>
        <w:pStyle w:val="Heading1"/>
        <w:pageBreakBefore/>
      </w:pPr>
      <w:r>
        <w:t xml:space="preserve">3. Componentes de software</w:t>
      </w:r>
    </w:p>
    <w:p>
      <w:pPr>
        <w:pStyle w:val="Heading2"/>
      </w:pPr>
      <w:r>
        <w:t xml:space="preserve">3.1 Vista de componentes</w:t>
      </w:r>
    </w:p>
    <w:p>
      <w:pPr>
        <w:spacing w:after="60" w:before="120"/>
        <w:jc w:val="center"/>
      </w:pPr>
      <w:r>
        <w:drawing>
          <wp:inline distT="0" distB="0" distL="0" distR="0">
            <wp:extent cx="2143125" cy="7591425"/>
            <wp:effectExtent t="0" r="0" b="0" l="0"/>
            <wp:docPr id="3" name="fig" descr="Figura 3. Componentes de software y sus dependencias" title="Figura 3. Componentes de software y sus dependen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3. Componentes de software y sus dependencias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2315"/>
        <w:gridCol w:w="5334"/>
      </w:tblGrid>
      <w:tr>
        <w:trPr>
          <w:cantSplit/>
          <w:tblHeader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53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rPr>
          <w:cantSplit/>
          <w:tblHeader w:val="off"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js/app.js</w:t>
            </w:r>
          </w:p>
        </w:tc>
        <w:tc>
          <w:tcPr>
            <w:tcW w:type="dxa" w:w="53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Rutas #/módulo, menú agrupado por rol, 12 vistas, formularios, modales, avisos y notificaciones</w:t>
            </w:r>
          </w:p>
        </w:tc>
      </w:tr>
      <w:tr>
        <w:trPr>
          <w:cantSplit/>
          <w:tblHeader w:val="off"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Servicios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js/servicios.js</w:t>
            </w:r>
          </w:p>
        </w:tc>
        <w:tc>
          <w:tcPr>
            <w:tcW w:type="dxa" w:w="53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Reglas de negocio, validaciones, transiciones de estado y permisos (MODULOS y ACCIONES por rol)</w:t>
            </w:r>
          </w:p>
        </w:tc>
      </w:tr>
      <w:tr>
        <w:trPr>
          <w:cantSplit/>
          <w:tblHeader w:val="off"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 y Seguridad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js/auth.js</w:t>
            </w:r>
          </w:p>
        </w:tc>
        <w:tc>
          <w:tcPr>
            <w:tcW w:type="dxa" w:w="53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Inicio y cierre de sesión, inactividad, bloqueo, hash PBKDF2 y política de contraseña</w:t>
            </w:r>
          </w:p>
        </w:tc>
      </w:tr>
      <w:tr>
        <w:trPr>
          <w:cantSplit/>
          <w:tblHeader w:val="off"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DB y Servidor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js/datos.js</w:t>
            </w:r>
          </w:p>
        </w:tc>
        <w:tc>
          <w:tcPr>
            <w:tcW w:type="dxa" w:w="53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Datos en memoria, modo servidor o demostración, carga y sincronización con la API</w:t>
            </w:r>
          </w:p>
        </w:tc>
      </w:tr>
      <w:tr>
        <w:trPr>
          <w:cantSplit/>
          <w:tblHeader w:val="off"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api/api.php</w:t>
            </w:r>
          </w:p>
        </w:tc>
        <w:tc>
          <w:tcPr>
            <w:tcW w:type="dxa" w:w="53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Autenticación, permisos, validación de habitación, prohibición de borrar residentes, transacciones con PDO</w:t>
            </w:r>
          </w:p>
        </w:tc>
      </w:tr>
      <w:tr>
        <w:trPr>
          <w:cantSplit/>
          <w:tblHeader w:val="off"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Configuración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api/config.php</w:t>
            </w:r>
          </w:p>
        </w:tc>
        <w:tc>
          <w:tcPr>
            <w:tcW w:type="dxa" w:w="53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Datos de conexión a MySQL</w:t>
            </w:r>
          </w:p>
        </w:tc>
      </w:tr>
      <w:tr>
        <w:trPr>
          <w:cantSplit/>
          <w:tblHeader w:val="off"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basedatos/*.sql</w:t>
            </w:r>
          </w:p>
        </w:tc>
        <w:tc>
          <w:tcPr>
            <w:tcW w:type="dxa" w:w="533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Esquema, datos de prueba, vistas y procedimientos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Módulo de acceso y usuarios</w:t>
      </w:r>
    </w:p>
    <w:p>
      <w:pPr>
        <w:spacing w:after="120" w:line="276"/>
        <w:jc w:val="both"/>
      </w:pPr>
      <w:r>
        <w:t xml:space="preserve">El inicio de sesión sigue el diagrama DS-01: la página envía usuario y contraseña a la acción login; el servidor revisa el bloqueo, obtiene la sal y el hash, calcula hash_pbkdf2 y compara. Si la cuenta tiene </w:t>
      </w:r>
      <w:r>
        <w:rPr>
          <w:b/>
          <w:bCs/>
        </w:rPr>
        <w:t xml:space="preserve">debe_cambiar_clave = 1</w:t>
      </w:r>
      <w:r>
        <w:t xml:space="preserve">, responde que debe cambiarla y la página muestra «Crea tu contraseña personal». Solo después de cambiarla se permite la acción cargar.</w:t>
      </w:r>
    </w:p>
    <w:p>
      <w:pPr>
        <w:pStyle w:val="Heading2"/>
      </w:pPr>
      <w:r>
        <w:t xml:space="preserve">3.3 Modelo de dominio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4171950"/>
            <wp:effectExtent t="0" r="0" b="0" l="0"/>
            <wp:docPr id="4" name="fig" descr="Figura 4. Modelo de dominio" title="Figura 4. Modelo de domin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4. Modelo de dominio</w:t>
      </w:r>
    </w:p>
    <w:p>
      <w:pPr>
        <w:pStyle w:val="Heading2"/>
      </w:pPr>
      <w:r>
        <w:t xml:space="preserve">3.4 Servicios y reglas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6743"/>
      </w:tblGrid>
      <w:tr>
        <w:trPr>
          <w:cantSplit/>
          <w:tblHeader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Reglas que aplica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guardarResidente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RN-01 edad y DPI, RN-02 habitación, validación de fechas y teléfono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registrarEgreso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RN-03 baja lógica, RN-04 efectos del egreso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crearCita / cambiarEstadoCita / reprogramarCita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RN-05 horario y choques; transiciones Programada → Confirmada → En atención → Completada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solicitarExamen / iniciarExamen / registrarResultado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Prioridades y estados Pendiente → En proceso → Completado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comprar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RN-06 stock y vencimiento; recibo FAR-#### (RN-12)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crearFactura / pagarFactura / anularFactura / generarMensualidades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RN-07 y RN-08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crearUsuario / restablecerClave / cambiarMiClave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RN-09 y RN-11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exportarRespaldo / restaurarRespaldo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Respaldo JSON validado (RF-24)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4. Experiencia de usuario</w:t>
      </w:r>
    </w:p>
    <w:p>
      <w:pPr>
        <w:pStyle w:val="Heading2"/>
      </w:pPr>
      <w:r>
        <w:t xml:space="preserve">4.1 Usuarios y contexto de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3623"/>
        <w:gridCol w:w="4026"/>
      </w:tblGrid>
      <w:tr>
        <w:trPr>
          <w:cantSplit/>
          <w:tblHeader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Contexto</w:t>
            </w:r>
          </w:p>
        </w:tc>
        <w:tc>
          <w:tcPr>
            <w:tcW w:type="dxa" w:w="402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Necesidad principal</w:t>
            </w:r>
          </w:p>
        </w:tc>
      </w:tr>
      <w:tr>
        <w:trPr>
          <w:cantSplit/>
          <w:tblHeader w:val="off"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Oficina, computadora de escritorio</w:t>
            </w:r>
          </w:p>
        </w:tc>
        <w:tc>
          <w:tcPr>
            <w:tcW w:type="dxa" w:w="402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 el estado del asilo y registrar ingresos, cobros y usuarios rápidamente</w:t>
            </w:r>
          </w:p>
        </w:tc>
      </w:tr>
      <w:tr>
        <w:trPr>
          <w:cantSplit/>
          <w:tblHeader w:val="off"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Médico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Recorridos y consultorio, tableta o computadora</w:t>
            </w:r>
          </w:p>
        </w:tc>
        <w:tc>
          <w:tcPr>
            <w:tcW w:type="dxa" w:w="402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 la ficha completa, dar dosis y registrar signos sin perder tiempo</w:t>
            </w:r>
          </w:p>
        </w:tc>
      </w:tr>
      <w:tr>
        <w:trPr>
          <w:cantSplit/>
          <w:tblHeader w:val="off"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Laboratorio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Laboratorio, computadora</w:t>
            </w:r>
          </w:p>
        </w:tc>
        <w:tc>
          <w:tcPr>
            <w:tcW w:type="dxa" w:w="402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 la cola de solicitudes por prioridad y registrar resultados</w:t>
            </w:r>
          </w:p>
        </w:tc>
      </w:tr>
      <w:tr>
        <w:trPr>
          <w:cantSplit/>
          <w:tblHeader w:val="off"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Paciente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Teléfono o tableta</w:t>
            </w:r>
          </w:p>
        </w:tc>
        <w:tc>
          <w:tcPr>
            <w:tcW w:type="dxa" w:w="402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Consultar su información y comprar en la farmacia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Principios de diseño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Cada rol ve solo su trabajo:</w:t>
      </w:r>
      <w:r>
        <w:t xml:space="preserve"> menú y panel según el rol (RNF-09).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Legible para personal no técnico:</w:t>
      </w:r>
      <w:r>
        <w:t xml:space="preserve"> Inter para la interfaz y Fraunces para títulos, textos en español claro (RNF-02).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Cualquier módulo en máximo 2 clics:</w:t>
      </w:r>
      <w:r>
        <w:t xml:space="preserve"> menú lateral agrupado en Principal, Atención, Administración y Sistema.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El estado no depende solo del color:</w:t>
      </w:r>
      <w:r>
        <w:t xml:space="preserve"> cada insignia lleva texto (Estable, Pendiente, Vencido…).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Prevención de errores:</w:t>
      </w:r>
      <w:r>
        <w:t xml:space="preserve"> validación al guardar con mensaje junto al campo; opciones no válidas deshabilitadas (habitaciones llenas).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Respuesta inmediata:</w:t>
      </w:r>
      <w:r>
        <w:t xml:space="preserve"> avisos al terminar cada acción y notificaciones con lo pendiente.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Funciona en teléfono:</w:t>
      </w:r>
      <w:r>
        <w:t xml:space="preserve"> desde 360 px, con barra inferior de navegación (RNF-03).</w:t>
      </w:r>
    </w:p>
    <w:p>
      <w:pPr>
        <w:pStyle w:val="Heading2"/>
      </w:pPr>
      <w:r>
        <w:t xml:space="preserve">4.3 Arquitectura de información y navegación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5267325"/>
            <wp:effectExtent t="0" r="0" b="0" l="0"/>
            <wp:docPr id="5" name="fig" descr="Figura 5. Navegación y módulos por rol" title="Figura 5. Navegación y módulos por 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5. Navegación y módulos por rol</w:t>
      </w:r>
    </w:p>
    <w:p>
      <w:pPr>
        <w:pStyle w:val="Heading2"/>
      </w:pPr>
      <w:r>
        <w:t xml:space="preserve">4.4 Patrones de interfaz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6743"/>
      </w:tblGrid>
      <w:tr>
        <w:trPr>
          <w:cantSplit/>
          <w:tblHeader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Patrón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Dónde se usa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Panel con accesos rápidos y tarjetas de indicadores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Inicio de cada rol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Tabla con buscador y filtros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Residentes, citas, personal, laboratorio, medicamentos, facturación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Ficha con encabezado del residente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Expediente: datos, ficha médica, signos, notas, medicamentos, citas y exámenes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Formulario en ventana modal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Altas y ediciones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Línea de tiempo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Agenda del día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Plano por tarjetas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Habitaciones y su ocupación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Carrito de compras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Farmacia del Paciente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Vista previa + PDF/CSV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4.5 Estados visibles</w:t>
      </w:r>
    </w:p>
    <w:p>
      <w:pPr>
        <w:spacing w:after="120" w:line="276"/>
        <w:jc w:val="both"/>
      </w:pPr>
      <w:r>
        <w:t xml:space="preserve">Las insignias usan cinco familias de color: </w:t>
      </w:r>
      <w:r>
        <w:rPr>
          <w:b/>
          <w:bCs/>
        </w:rPr>
        <w:t xml:space="preserve">verde</w:t>
      </w:r>
      <w:r>
        <w:t xml:space="preserve"> (Estable, Completada, Pagada, Activo, Disponible), </w:t>
      </w:r>
      <w:r>
        <w:rPr>
          <w:b/>
          <w:bCs/>
        </w:rPr>
        <w:t xml:space="preserve">ámbar</w:t>
      </w:r>
      <w:r>
        <w:t xml:space="preserve"> (En observación, Programada, Pendiente, Por vencer, Vacaciones), </w:t>
      </w:r>
      <w:r>
        <w:rPr>
          <w:b/>
          <w:bCs/>
        </w:rPr>
        <w:t xml:space="preserve">azul</w:t>
      </w:r>
      <w:r>
        <w:t xml:space="preserve"> (Confirmada, En atención, En proceso, Ocupada), </w:t>
      </w:r>
      <w:r>
        <w:rPr>
          <w:b/>
          <w:bCs/>
        </w:rPr>
        <w:t xml:space="preserve">rojo</w:t>
      </w:r>
      <w:r>
        <w:t xml:space="preserve"> (Delicado, Cancelada, Urgente, Vencido, Agotado) y </w:t>
      </w:r>
      <w:r>
        <w:rPr>
          <w:b/>
          <w:bCs/>
        </w:rPr>
        <w:t xml:space="preserve">gris</w:t>
      </w:r>
      <w:r>
        <w:t xml:space="preserve"> (Egresado, Anulada, turnos). El detalle está en el Manual de Diseño Visual.</w:t>
      </w:r>
    </w:p>
    <w:p>
      <w:pPr>
        <w:pStyle w:val="Heading2"/>
      </w:pPr>
      <w:r>
        <w:t xml:space="preserve">4.6 Patrones de diseño de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6743"/>
      </w:tblGrid>
      <w:tr>
        <w:trPr>
          <w:cantSplit/>
          <w:tblHeader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Patrón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Aplicación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Módulo (IIFE de JavaScript)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Seguridad, Auth, DB, Servicios y App exponen solo sus funciones públicas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Fachada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Servicios ofrece operaciones de alto nivel (registrarEgreso) que coordinan varias tablas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Repositorio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DB centraliza el acceso a los datos, sea en memoria o en el servidor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 controller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api/api.php recibe todas las peticiones y despacha por accion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Resultado uniforme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Cada servicio devuelve { ok, data } o { ok, error } para mostrar mensajes consistentes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6A85"/>
        <w:sz w:val="16"/>
        <w:szCs w:val="16"/>
      </w:rPr>
      <w:t xml:space="preserve">Página </w:t>
    </w:r>
    <w:r>
      <w:rPr>
        <w:color w:val="646A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CE8" w:sz="4" w:space="4"/>
      </w:pBdr>
      <w:jc w:val="right"/>
    </w:pPr>
    <w:r>
      <w:rPr>
        <w:color w:val="646A85"/>
        <w:sz w:val="16"/>
        <w:szCs w:val="16"/>
      </w:rPr>
      <w:t xml:space="preserve">Fase de Diseño · Asilo «Cabeza de Algodón»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232B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4651C9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232B5C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e45c8aa6f465dbe4a5c8890797f864687f3c15b7.png"/><Relationship Id="rId10" Type="http://schemas.openxmlformats.org/officeDocument/2006/relationships/image" Target="media/2d77b7301f8b22bf1584de0b0f53a75d368a37f4.png"/><Relationship Id="rId11" Type="http://schemas.openxmlformats.org/officeDocument/2006/relationships/image" Target="media/f467deaed5d4ecf855ab8ccc60c16026466fea22.png"/><Relationship Id="rId12" Type="http://schemas.openxmlformats.org/officeDocument/2006/relationships/image" Target="media/242fb287020676c7dd6618305346966afeda21b1.png"/><Relationship Id="rId13" Type="http://schemas.openxmlformats.org/officeDocument/2006/relationships/image" Target="media/6dfb350f073d0a63b9d0ae548ed45a89c386f66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de Diseño</dc:title>
  <dc:creator>Gilmer Iván Ortiz Samayoa</dc:creator>
  <dc:description>Fase de Diseño</dc:description>
  <cp:lastModifiedBy>Un-named</cp:lastModifiedBy>
  <cp:revision>1</cp:revision>
  <dcterms:created xsi:type="dcterms:W3CDTF">2026-10-30T23:07:13.510Z</dcterms:created>
  <dcterms:modified xsi:type="dcterms:W3CDTF">2026-10-30T23:07:13.511Z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