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232B5C"/>
          <w:sz w:val="28"/>
          <w:szCs w:val="28"/>
        </w:rPr>
        <w:t xml:space="preserve">Universidad Mariano Gálvez de Guatemala</w:t>
      </w:r>
    </w:p>
    <w:p>
      <w:pPr>
        <w:spacing w:after="80"/>
        <w:jc w:val="center"/>
      </w:pPr>
      <w:r>
        <w:rPr>
          <w:sz w:val="24"/>
          <w:szCs w:val="24"/>
        </w:rPr>
        <w:t xml:space="preserve">Facultad de Ingeniería en Sistemas de Información</w:t>
      </w:r>
    </w:p>
    <w:p>
      <w:pPr>
        <w:spacing w:after="80"/>
        <w:jc w:val="center"/>
      </w:pPr>
      <w:r>
        <w:rPr>
          <w:sz w:val="24"/>
          <w:szCs w:val="24"/>
        </w:rPr>
        <w:t xml:space="preserve">Centro Regional de Mazatenango</w:t>
      </w:r>
    </w:p>
    <w:p>
      <w:pPr>
        <w:spacing w:after="80"/>
        <w:jc w:val="center"/>
      </w:pPr>
      <w:r>
        <w:rPr>
          <w:sz w:val="24"/>
          <w:szCs w:val="24"/>
        </w:rPr>
        <w:t xml:space="preserve">Curso: Análisis y Diseño de Sistemas II</w:t>
      </w:r>
    </w:p>
    <w:p>
      <w:pPr>
        <w:spacing w:after="900"/>
        <w:jc w:val="center"/>
      </w:pPr>
      <w:r>
        <w:rPr>
          <w:sz w:val="24"/>
          <w:szCs w:val="24"/>
        </w:rPr>
        <w:t xml:space="preserve">Catedrático: Ing. Angel Atilio Maltez C.</w:t>
      </w:r>
    </w:p>
    <w:p>
      <w:pPr>
        <w:pBdr>
          <w:bottom w:val="single" w:color="E07A5F" w:sz="12" w:space="6"/>
        </w:pBdr>
        <w:spacing w:after="300"/>
        <w:jc w:val="center"/>
      </w:pPr>
    </w:p>
    <w:p>
      <w:pPr>
        <w:spacing w:after="160"/>
        <w:jc w:val="center"/>
      </w:pPr>
      <w:r>
        <w:rPr>
          <w:b/>
          <w:bCs/>
          <w:color w:val="232B5C"/>
          <w:sz w:val="44"/>
          <w:szCs w:val="44"/>
        </w:rPr>
        <w:t xml:space="preserve">Manual de Diseño Visual</w:t>
      </w:r>
    </w:p>
    <w:p>
      <w:pPr>
        <w:spacing w:after="120"/>
        <w:jc w:val="center"/>
      </w:pPr>
      <w:r>
        <w:rPr>
          <w:color w:val="4651C9"/>
          <w:sz w:val="28"/>
          <w:szCs w:val="28"/>
        </w:rPr>
        <w:t xml:space="preserve">Sistema de Gestión del Asilo de Ancianos «Cabeza de Algodón»</w:t>
      </w:r>
    </w:p>
    <w:p>
      <w:pPr>
        <w:spacing w:after="1600"/>
        <w:jc w:val="center"/>
      </w:pPr>
      <w:r>
        <w:rPr>
          <w:i/>
          <w:iCs/>
          <w:color w:val="646A85"/>
          <w:sz w:val="22"/>
          <w:szCs w:val="22"/>
        </w:rPr>
        <w:t xml:space="preserve">Sistema visual implementado en la línea base v3.0</w:t>
      </w:r>
    </w:p>
    <w:p>
      <w:pPr>
        <w:spacing w:after="80"/>
        <w:jc w:val="center"/>
      </w:pPr>
      <w:r>
        <w:rPr>
          <w:b/>
          <w:bCs/>
          <w:sz w:val="26"/>
          <w:szCs w:val="26"/>
        </w:rPr>
        <w:t xml:space="preserve">Gilmer Iván Ortiz Samayoa</w:t>
      </w:r>
    </w:p>
    <w:p>
      <w:pPr>
        <w:spacing w:after="600"/>
        <w:jc w:val="center"/>
      </w:pPr>
      <w:r>
        <w:rPr>
          <w:sz w:val="24"/>
          <w:szCs w:val="24"/>
        </w:rPr>
        <w:t xml:space="preserve">Carné: 3090-23-12685</w:t>
      </w:r>
    </w:p>
    <w:p>
      <w:pPr>
        <w:spacing w:after="80"/>
        <w:jc w:val="center"/>
      </w:pPr>
      <w:r>
        <w:rPr>
          <w:sz w:val="24"/>
          <w:szCs w:val="24"/>
        </w:rPr>
        <w:t xml:space="preserve">Mazatenango, Suchitepéquez, 30 de octubre de 2026</w:t>
      </w:r>
    </w:p>
    <w:p>
      <w:r>
        <w:br w:type="page"/>
      </w:r>
    </w:p>
    <w:p>
      <w:pPr>
        <w:spacing w:after="200"/>
      </w:pPr>
      <w:r>
        <w:rPr>
          <w:b/>
          <w:bCs/>
          <w:color w:val="232B5C"/>
          <w:sz w:val="32"/>
          <w:szCs w:val="32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Introducción y alcance</w:t>
      </w:r>
    </w:p>
    <w:p>
      <w:pPr>
        <w:spacing w:after="120" w:line="276"/>
        <w:jc w:val="both"/>
      </w:pPr>
      <w:r>
        <w:t xml:space="preserve">Este manual documenta el </w:t>
      </w:r>
      <w:r>
        <w:rPr>
          <w:b/>
          <w:bCs/>
        </w:rPr>
        <w:t xml:space="preserve">sistema visual</w:t>
      </w:r>
      <w:r>
        <w:t xml:space="preserve"> del Sistema de Gestión del Asilo de Ancianos «Cabeza de Algodón» tal como está implementado en css/app.css, index.html y js/app.js: identidad, colores, mapa de estados, tipografía, espaciado, responsividad, íconos, componentes y navegación por rol. Sirve para que cualquier pantalla nueva se vea y se comporte igual que las existentes.</w:t>
      </w:r>
    </w:p>
    <w:p>
      <w:pPr>
        <w:pStyle w:val="Heading2"/>
      </w:pPr>
      <w:r>
        <w:t xml:space="preserve">1.1 Criterio rector</w:t>
      </w:r>
    </w:p>
    <w:p>
      <w:pPr>
        <w:spacing w:after="120" w:line="276"/>
        <w:jc w:val="both"/>
      </w:pPr>
      <w:r>
        <w:t xml:space="preserve">El sistema lo usan personas que cuidan adultos mayores, muchas sin formación técnica, a veces desde una tableta o un teléfono. Por eso cada decisión prioriza </w:t>
      </w:r>
      <w:r>
        <w:rPr>
          <w:b/>
          <w:bCs/>
        </w:rPr>
        <w:t xml:space="preserve">la claridad sobre la decoración</w:t>
      </w:r>
      <w:r>
        <w:t xml:space="preserve">: textos legibles, contrastes suficientes, estados que no dependen solo del color y un máximo de dos clics para llegar a cualquier módulo (RNF-02).</w:t>
      </w:r>
    </w:p>
    <w:p>
      <w:pPr>
        <w:pStyle w:val="Heading2"/>
      </w:pPr>
      <w:r>
        <w:t xml:space="preserve">1.2 Documentos relacionados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2"/>
        <w:gridCol w:w="5938"/>
      </w:tblGrid>
      <w:tr>
        <w:trPr>
          <w:cantSplit/>
          <w:tblHeader/>
        </w:trPr>
        <w:tc>
          <w:tcPr>
            <w:tcW w:type="dxa" w:w="342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Documento</w:t>
            </w:r>
          </w:p>
        </w:tc>
        <w:tc>
          <w:tcPr>
            <w:tcW w:type="dxa" w:w="593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Aporte a este manual</w:t>
            </w:r>
          </w:p>
        </w:tc>
      </w:tr>
      <w:tr>
        <w:trPr>
          <w:cantSplit/>
          <w:tblHeader w:val="off"/>
        </w:trPr>
        <w:tc>
          <w:tcPr>
            <w:tcW w:type="dxa" w:w="342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ERS v3.0 (línea base)</w:t>
            </w:r>
          </w:p>
        </w:tc>
        <w:tc>
          <w:tcPr>
            <w:tcW w:type="dxa" w:w="593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Requerimientos RNF-02 (usabilidad) y RNF-03 (responsividad), roles y módulos</w:t>
            </w:r>
          </w:p>
        </w:tc>
      </w:tr>
      <w:tr>
        <w:trPr>
          <w:cantSplit/>
          <w:tblHeader w:val="off"/>
        </w:trPr>
        <w:tc>
          <w:tcPr>
            <w:tcW w:type="dxa" w:w="342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Fase de Diseño</w:t>
            </w:r>
          </w:p>
        </w:tc>
        <w:tc>
          <w:tcPr>
            <w:tcW w:type="dxa" w:w="593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Principios de experiencia de usuario y patrones de interfaz</w:t>
            </w:r>
          </w:p>
        </w:tc>
      </w:tr>
      <w:tr>
        <w:trPr>
          <w:cantSplit/>
          <w:tblHeader w:val="off"/>
        </w:trPr>
        <w:tc>
          <w:tcPr>
            <w:tcW w:type="dxa" w:w="342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Fase de Desarrollo</w:t>
            </w:r>
          </w:p>
        </w:tc>
        <w:tc>
          <w:tcPr>
            <w:tcW w:type="dxa" w:w="593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Inventario de pantallas P-01 a P-20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2. Identidad institucional</w:t>
      </w:r>
    </w:p>
    <w:p>
      <w:pPr>
        <w:pStyle w:val="Heading2"/>
      </w:pPr>
      <w:r>
        <w:t xml:space="preserve">2.1 Concepto</w:t>
      </w:r>
    </w:p>
    <w:p>
      <w:pPr>
        <w:spacing w:after="120" w:line="276"/>
        <w:jc w:val="both"/>
      </w:pPr>
      <w:r>
        <w:t xml:space="preserve">El nombre «Cabeza de Algodón» evoca el cabello blanco de los adultos mayores. El logotipo es una </w:t>
      </w:r>
      <w:r>
        <w:rPr>
          <w:b/>
          <w:bCs/>
        </w:rPr>
        <w:t xml:space="preserve">flor de algodón</w:t>
      </w:r>
      <w:r>
        <w:t xml:space="preserve"> dibujada en SVG, con su cápsula blanca y el tallo café (#9A7351), dentro de una insignia redondeada. Transmite suavidad, cuidado y dignidad.</w:t>
      </w:r>
    </w:p>
    <w:p>
      <w:pPr>
        <w:pStyle w:val="Heading2"/>
      </w:pPr>
      <w:r>
        <w:t xml:space="preserve">2.2 Mensajes de la institución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5"/>
        <w:gridCol w:w="6945"/>
      </w:tblGrid>
      <w:tr>
        <w:trPr>
          <w:cantSplit/>
          <w:tblHeader/>
        </w:trPr>
        <w:tc>
          <w:tcPr>
            <w:tcW w:type="dxa" w:w="24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69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Texto</w:t>
            </w:r>
          </w:p>
        </w:tc>
      </w:tr>
      <w:tr>
        <w:trPr>
          <w:cantSplit/>
          <w:tblHeader w:val="off"/>
        </w:trPr>
        <w:tc>
          <w:tcPr>
            <w:tcW w:type="dxa" w:w="24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Lugar</w:t>
            </w:r>
          </w:p>
        </w:tc>
        <w:tc>
          <w:tcPr>
            <w:tcW w:type="dxa" w:w="69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Asilo de Ancianos · Mazatenango, Suchitepéquez</w:t>
            </w:r>
          </w:p>
        </w:tc>
      </w:tr>
      <w:tr>
        <w:trPr>
          <w:cantSplit/>
          <w:tblHeader w:val="off"/>
        </w:trPr>
        <w:tc>
          <w:tcPr>
            <w:tcW w:type="dxa" w:w="24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Lema</w:t>
            </w:r>
          </w:p>
        </w:tc>
        <w:tc>
          <w:tcPr>
            <w:tcW w:type="dxa" w:w="69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Cuidamos con respeto, cariño y dedicación a quienes han dedicado toda una vida a cuidar de nosotros.</w:t>
            </w:r>
          </w:p>
        </w:tc>
      </w:tr>
      <w:tr>
        <w:trPr>
          <w:cantSplit/>
          <w:tblHeader w:val="off"/>
        </w:trPr>
        <w:tc>
          <w:tcPr>
            <w:tcW w:type="dxa" w:w="24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Frase</w:t>
            </w:r>
          </w:p>
        </w:tc>
        <w:tc>
          <w:tcPr>
            <w:tcW w:type="dxa" w:w="69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«Cada cana guarda una historia. Aquí la escuchamos, la cuidamos y la celebramos.»</w:t>
            </w:r>
          </w:p>
        </w:tc>
      </w:tr>
      <w:tr>
        <w:trPr>
          <w:cantSplit/>
          <w:tblHeader w:val="off"/>
        </w:trPr>
        <w:tc>
          <w:tcPr>
            <w:tcW w:type="dxa" w:w="24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Compromisos</w:t>
            </w:r>
          </w:p>
        </w:tc>
        <w:tc>
          <w:tcPr>
            <w:tcW w:type="dxa" w:w="69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Atención médica · Un hogar cálido · Cerca de la familia · Dignidad y respeto</w:t>
            </w:r>
          </w:p>
        </w:tc>
      </w:tr>
    </w:tbl>
    <w:p>
      <w:pPr>
        <w:spacing w:after="120"/>
      </w:pPr>
    </w:p>
    <w:p>
      <w:pPr>
        <w:spacing w:after="60" w:before="120"/>
        <w:jc w:val="center"/>
      </w:pPr>
      <w:r>
        <w:drawing>
          <wp:inline distT="0" distB="0" distL="0" distR="0">
            <wp:extent cx="5762625" cy="3238500"/>
            <wp:effectExtent t="0" r="0" b="0" l="0"/>
            <wp:docPr id="1" name="fig" descr="Figura 1. La identidad aplicada en la pantalla de inicio de sesión" title="Figura 1. La identidad aplicada en la pantalla de inicio de ses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6A85"/>
          <w:sz w:val="18"/>
          <w:szCs w:val="18"/>
        </w:rPr>
        <w:t xml:space="preserve">Figura 1. La identidad aplicada en la pantalla de inicio de sesión</w:t>
      </w:r>
    </w:p>
    <w:p>
      <w:pPr>
        <w:pStyle w:val="Heading2"/>
      </w:pPr>
      <w:r>
        <w:t xml:space="preserve">2.3 Reglas de uso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El logotipo se usa sobre la insignia blanca o sobre el degradado índigo; nunca sobre fotografías.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El nombre «Cabeza de Algodón» se escribe en Fraunces; en la pantalla de inicio, «Algodón» va en cursiva coral claro (#FFD2C4).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No se deforma ni se cambia el color del tallo o de la flor.</w:t>
      </w:r>
    </w:p>
    <w:p>
      <w:pPr>
        <w:pStyle w:val="Heading1"/>
        <w:pageBreakBefore/>
      </w:pPr>
      <w:r>
        <w:t xml:space="preserve">3. Sistema de color</w:t>
      </w:r>
    </w:p>
    <w:p>
      <w:pPr>
        <w:pStyle w:val="Heading2"/>
      </w:pPr>
      <w:r>
        <w:t xml:space="preserve">3.1 Colores de marca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"/>
        <w:gridCol w:w="1308"/>
        <w:gridCol w:w="1107"/>
        <w:gridCol w:w="1812"/>
        <w:gridCol w:w="4227"/>
      </w:tblGrid>
      <w:tr>
        <w:trPr>
          <w:cantSplit/>
          <w:tblHeader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Muestra</w:t>
            </w:r>
          </w:p>
        </w:tc>
        <w:tc>
          <w:tcPr>
            <w:tcW w:type="dxa" w:w="13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18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422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4651C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3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--p</w:t>
            </w:r>
          </w:p>
        </w:tc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#4651C9</w:t>
            </w:r>
          </w:p>
        </w:tc>
        <w:tc>
          <w:tcPr>
            <w:tcW w:type="dxa" w:w="18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Índigo principal</w:t>
            </w:r>
          </w:p>
        </w:tc>
        <w:tc>
          <w:tcPr>
            <w:tcW w:type="dxa" w:w="422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Botones secundarios, enlaces, ítem activo, barras de progreso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3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--pd</w:t>
            </w:r>
          </w:p>
        </w:tc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#232B5C</w:t>
            </w:r>
          </w:p>
        </w:tc>
        <w:tc>
          <w:tcPr>
            <w:tcW w:type="dxa" w:w="18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Índigo profundo</w:t>
            </w:r>
          </w:p>
        </w:tc>
        <w:tc>
          <w:tcPr>
            <w:tcW w:type="dxa" w:w="422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Menú lateral, botón principal, títulos, encabezados de tabla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E7E9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3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--pl</w:t>
            </w:r>
          </w:p>
        </w:tc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#E7E9FA</w:t>
            </w:r>
          </w:p>
        </w:tc>
        <w:tc>
          <w:tcPr>
            <w:tcW w:type="dxa" w:w="18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Índigo claro</w:t>
            </w:r>
          </w:p>
        </w:tc>
        <w:tc>
          <w:tcPr>
            <w:tcW w:type="dxa" w:w="422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Fondos de insignias, íconos de tarjetas, selección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F07A5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3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Coral</w:t>
            </w:r>
          </w:p>
        </w:tc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#F07A5A</w:t>
            </w:r>
          </w:p>
        </w:tc>
        <w:tc>
          <w:tcPr>
            <w:tcW w:type="dxa" w:w="18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Coral de acento</w:t>
            </w:r>
          </w:p>
        </w:tc>
        <w:tc>
          <w:tcPr>
            <w:tcW w:type="dxa" w:w="422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Acceso rápido «Dar medicamentos», marca «Ahora» en la agenda, detalles del logotipo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E2603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3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Coral oscuro</w:t>
            </w:r>
          </w:p>
        </w:tc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#E2603F</w:t>
            </w:r>
          </w:p>
        </w:tc>
        <w:tc>
          <w:tcPr>
            <w:tcW w:type="dxa" w:w="18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Coral intenso</w:t>
            </w:r>
          </w:p>
        </w:tc>
        <w:tc>
          <w:tcPr>
            <w:tcW w:type="dxa" w:w="422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Hover y bordes del acento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9A735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3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Algodón</w:t>
            </w:r>
          </w:p>
        </w:tc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#9A7351</w:t>
            </w:r>
          </w:p>
        </w:tc>
        <w:tc>
          <w:tcPr>
            <w:tcW w:type="dxa" w:w="18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Café del tallo</w:t>
            </w:r>
          </w:p>
        </w:tc>
        <w:tc>
          <w:tcPr>
            <w:tcW w:type="dxa" w:w="422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Ícono de la flor de algodón (favicon y logotipo)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 Neutros y superficies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"/>
        <w:gridCol w:w="1409"/>
        <w:gridCol w:w="1208"/>
        <w:gridCol w:w="3321"/>
        <w:gridCol w:w="2516"/>
      </w:tblGrid>
      <w:tr>
        <w:trPr>
          <w:cantSplit/>
          <w:tblHeader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Muestra</w:t>
            </w:r>
          </w:p>
        </w:tc>
        <w:tc>
          <w:tcPr>
            <w:tcW w:type="dxa" w:w="140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  <w:tc>
          <w:tcPr>
            <w:tcW w:type="dxa" w:w="251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Contraste con blanco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F6F7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40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--bg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#F6F7FC</w:t>
            </w:r>
          </w:p>
        </w:tc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Fondo general</w:t>
            </w:r>
          </w:p>
        </w:tc>
        <w:tc>
          <w:tcPr>
            <w:tcW w:type="dxa" w:w="251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1.07:1 (decorativo)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40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--surface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#FFFFFF</w:t>
            </w:r>
          </w:p>
        </w:tc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Tarjetas, paneles y formularios</w:t>
            </w:r>
          </w:p>
        </w:tc>
        <w:tc>
          <w:tcPr>
            <w:tcW w:type="dxa" w:w="251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1.00:1 (decorativo)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1F244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40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--text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#1F2440</w:t>
            </w:r>
          </w:p>
        </w:tc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Texto principal</w:t>
            </w:r>
          </w:p>
        </w:tc>
        <w:tc>
          <w:tcPr>
            <w:tcW w:type="dxa" w:w="251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15.17:1 (AAA)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646A8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40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--muted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#646A85</w:t>
            </w:r>
          </w:p>
        </w:tc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Texto secundario y etiquetas</w:t>
            </w:r>
          </w:p>
        </w:tc>
        <w:tc>
          <w:tcPr>
            <w:tcW w:type="dxa" w:w="251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5.33:1 (AA)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DDE0F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40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--line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#DDE0F0</w:t>
            </w:r>
          </w:p>
        </w:tc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Bordes</w:t>
            </w:r>
          </w:p>
        </w:tc>
        <w:tc>
          <w:tcPr>
            <w:tcW w:type="dxa" w:w="251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1.31:1 (decorativo)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ECEE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40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--soft-line</w:t>
            </w:r>
          </w:p>
        </w:tc>
        <w:tc>
          <w:tcPr>
            <w:tcW w:type="dxa" w:w="12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#ECEEF8</w:t>
            </w:r>
          </w:p>
        </w:tc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Divisiones suaves</w:t>
            </w:r>
          </w:p>
        </w:tc>
        <w:tc>
          <w:tcPr>
            <w:tcW w:type="dxa" w:w="251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1.16:1 (decorativo)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 Colores semánticos</w:t>
      </w:r>
    </w:p>
    <w:p>
      <w:pPr>
        <w:spacing w:after="120" w:line="276"/>
        <w:jc w:val="both"/>
      </w:pPr>
      <w:r>
        <w:t xml:space="preserve">Cada estado usa un par: color de texto sobre su fondo claro. El contraste se calculó con la fórmula de WCAG 2.1.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"/>
        <w:gridCol w:w="1711"/>
        <w:gridCol w:w="2315"/>
        <w:gridCol w:w="2315"/>
        <w:gridCol w:w="2113"/>
      </w:tblGrid>
      <w:tr>
        <w:trPr>
          <w:cantSplit/>
          <w:tblHeader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Muestra</w:t>
            </w:r>
          </w:p>
        </w:tc>
        <w:tc>
          <w:tcPr>
            <w:tcW w:type="dxa" w:w="171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Texto</w:t>
            </w:r>
          </w:p>
        </w:tc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Fondo</w:t>
            </w:r>
          </w:p>
        </w:tc>
        <w:tc>
          <w:tcPr>
            <w:tcW w:type="dxa" w:w="21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Contraste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E5F2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71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Éxito</w:t>
            </w:r>
          </w:p>
        </w:tc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--ok #366F51</w:t>
            </w:r>
          </w:p>
        </w:tc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--ok-l #E5F2EA</w:t>
            </w:r>
          </w:p>
        </w:tc>
        <w:tc>
          <w:tcPr>
            <w:tcW w:type="dxa" w:w="21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5.13:1 (AA)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FFF2D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71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Advertencia</w:t>
            </w:r>
          </w:p>
        </w:tc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(texto) 8A5514 #8A5514</w:t>
            </w:r>
          </w:p>
        </w:tc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--warn-l #FFF2DD</w:t>
            </w:r>
          </w:p>
        </w:tc>
        <w:tc>
          <w:tcPr>
            <w:tcW w:type="dxa" w:w="21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5.60:1 (AA)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E9F0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71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Información</w:t>
            </w:r>
          </w:p>
        </w:tc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--blue #45677E</w:t>
            </w:r>
          </w:p>
        </w:tc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--blue-l #E9F0F4</w:t>
            </w:r>
          </w:p>
        </w:tc>
        <w:tc>
          <w:tcPr>
            <w:tcW w:type="dxa" w:w="21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5.22:1 (AA)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FBE3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71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Peligro</w:t>
            </w:r>
          </w:p>
        </w:tc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--danger #A8363F</w:t>
            </w:r>
          </w:p>
        </w:tc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--danger-l #FBE3E5</w:t>
            </w:r>
          </w:p>
        </w:tc>
        <w:tc>
          <w:tcPr>
            <w:tcW w:type="dxa" w:w="21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5.28:1 (AA)</w:t>
            </w:r>
          </w:p>
        </w:tc>
      </w:tr>
      <w:tr>
        <w:trPr>
          <w:cantSplit/>
          <w:tblHeader w:val="off"/>
        </w:trPr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ECEE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171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Neutro</w:t>
            </w:r>
          </w:p>
        </w:tc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--muted #646A85</w:t>
            </w:r>
          </w:p>
        </w:tc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--soft-line #ECEEF8</w:t>
            </w:r>
          </w:p>
        </w:tc>
        <w:tc>
          <w:tcPr>
            <w:tcW w:type="dxa" w:w="21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4.60:1 (AA)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3.4 Contrastes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39"/>
        <w:gridCol w:w="3321"/>
      </w:tblGrid>
      <w:tr>
        <w:trPr>
          <w:cantSplit/>
          <w:tblHeader/>
        </w:trPr>
        <w:tc>
          <w:tcPr>
            <w:tcW w:type="dxa" w:w="603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Combinación</w:t>
            </w:r>
          </w:p>
        </w:tc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Contraste</w:t>
            </w:r>
          </w:p>
        </w:tc>
      </w:tr>
      <w:tr>
        <w:trPr>
          <w:cantSplit/>
          <w:tblHeader w:val="off"/>
        </w:trPr>
        <w:tc>
          <w:tcPr>
            <w:tcW w:type="dxa" w:w="603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Texto #1F2440 sobre fondo #F6F7FC</w:t>
            </w:r>
          </w:p>
        </w:tc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14.18:1 (AAA)</w:t>
            </w:r>
          </w:p>
        </w:tc>
      </w:tr>
      <w:tr>
        <w:trPr>
          <w:cantSplit/>
          <w:tblHeader w:val="off"/>
        </w:trPr>
        <w:tc>
          <w:tcPr>
            <w:tcW w:type="dxa" w:w="603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Texto secundario #646A85 sobre blanco</w:t>
            </w:r>
          </w:p>
        </w:tc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5.33:1 (AA)</w:t>
            </w:r>
          </w:p>
        </w:tc>
      </w:tr>
      <w:tr>
        <w:trPr>
          <w:cantSplit/>
          <w:tblHeader w:val="off"/>
        </w:trPr>
        <w:tc>
          <w:tcPr>
            <w:tcW w:type="dxa" w:w="603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Blanco sobre índigo profundo #232B5C (menú y botón principal)</w:t>
            </w:r>
          </w:p>
        </w:tc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13.36:1 (AAA)</w:t>
            </w:r>
          </w:p>
        </w:tc>
      </w:tr>
      <w:tr>
        <w:trPr>
          <w:cantSplit/>
          <w:tblHeader w:val="off"/>
        </w:trPr>
        <w:tc>
          <w:tcPr>
            <w:tcW w:type="dxa" w:w="603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Blanco sobre índigo #4651C9</w:t>
            </w:r>
          </w:p>
        </w:tc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6.40:1 (AA)</w:t>
            </w:r>
          </w:p>
        </w:tc>
      </w:tr>
      <w:tr>
        <w:trPr>
          <w:cantSplit/>
          <w:tblHeader w:val="off"/>
        </w:trPr>
        <w:tc>
          <w:tcPr>
            <w:tcW w:type="dxa" w:w="603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Índigo #4651C9 sobre blanco (enlaces)</w:t>
            </w:r>
          </w:p>
        </w:tc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6.40:1 (AA)</w:t>
            </w:r>
          </w:p>
        </w:tc>
      </w:tr>
      <w:tr>
        <w:trPr>
          <w:cantSplit/>
          <w:tblHeader w:val="off"/>
        </w:trPr>
        <w:tc>
          <w:tcPr>
            <w:tcW w:type="dxa" w:w="603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Insignia por defecto #2E3687 sobre #E7E9FA</w:t>
            </w:r>
          </w:p>
        </w:tc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8.74:1 (AAA)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3.5 Modo oscuro</w:t>
      </w:r>
    </w:p>
    <w:p>
      <w:pPr>
        <w:spacing w:after="120" w:line="276"/>
        <w:jc w:val="both"/>
      </w:pPr>
      <w:r>
        <w:t xml:space="preserve">El sistema respeta la preferencia del dispositivo (prefers-color-scheme) y permite cambiar el tema con el botón de luna/sol de la barra superior. En oscuro se redefinen los mismos tokens: fondo #10121F, superficies #181B2E, texto #ECEEFB, índigo #6B74E0 y versiones claras de los colores semánticos (#8FCFAA, #E8B06A, #9FC1D6, #F08891).</w:t>
      </w:r>
    </w:p>
    <w:p>
      <w:pPr>
        <w:pStyle w:val="Heading1"/>
        <w:pageBreakBefore/>
      </w:pPr>
      <w:r>
        <w:t xml:space="preserve">4. Mapa de estados a color</w:t>
      </w:r>
    </w:p>
    <w:p>
      <w:pPr>
        <w:spacing w:after="120" w:line="276"/>
        <w:jc w:val="both"/>
      </w:pPr>
      <w:r>
        <w:t xml:space="preserve">Las insignias (badge) se asignan automáticamente según el texto del estado (objeto CLASE de js/app.js). El texto siempre acompaña al color.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2"/>
        <w:gridCol w:w="906"/>
        <w:gridCol w:w="6642"/>
      </w:tblGrid>
      <w:tr>
        <w:trPr>
          <w:cantSplit/>
          <w:tblHeader/>
        </w:trPr>
        <w:tc>
          <w:tcPr>
            <w:tcW w:type="dxa" w:w="18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Familia</w:t>
            </w:r>
          </w:p>
        </w:tc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Muestra</w:t>
            </w:r>
          </w:p>
        </w:tc>
        <w:tc>
          <w:tcPr>
            <w:tcW w:type="dxa" w:w="664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Estados</w:t>
            </w:r>
          </w:p>
        </w:tc>
      </w:tr>
      <w:tr>
        <w:trPr>
          <w:cantSplit/>
          <w:tblHeader w:val="off"/>
        </w:trPr>
        <w:tc>
          <w:tcPr>
            <w:tcW w:type="dxa" w:w="18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Verde (ok)</w:t>
            </w:r>
          </w:p>
        </w:tc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E5F2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664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Estable, Completada, Completado, Pagada, Activo, Disponible, Monetaria, Administrada</w:t>
            </w:r>
          </w:p>
        </w:tc>
      </w:tr>
      <w:tr>
        <w:trPr>
          <w:cantSplit/>
          <w:tblHeader w:val="off"/>
        </w:trPr>
        <w:tc>
          <w:tcPr>
            <w:tcW w:type="dxa" w:w="18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Ámbar (warn)</w:t>
            </w:r>
          </w:p>
        </w:tc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FFF2D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664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En observación, Programada, Pendiente, Alta, Stock bajo, Mantenimiento, Por vencer, Vacaciones, Sin registrar</w:t>
            </w:r>
          </w:p>
        </w:tc>
      </w:tr>
      <w:tr>
        <w:trPr>
          <w:cantSplit/>
          <w:tblHeader w:val="off"/>
        </w:trPr>
        <w:tc>
          <w:tcPr>
            <w:tcW w:type="dxa" w:w="18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Azul (blue)</w:t>
            </w:r>
          </w:p>
        </w:tc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E9F0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664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Confirmada, En atención, En proceso, En especie, Ocupada, Completa</w:t>
            </w:r>
          </w:p>
        </w:tc>
      </w:tr>
      <w:tr>
        <w:trPr>
          <w:cantSplit/>
          <w:tblHeader w:val="off"/>
        </w:trPr>
        <w:tc>
          <w:tcPr>
            <w:tcW w:type="dxa" w:w="18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Rojo (bad)</w:t>
            </w:r>
          </w:p>
        </w:tc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FBE3E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664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Delicado, Cancelada, Urgente, Inactivo, Agotado, Vencido</w:t>
            </w:r>
          </w:p>
        </w:tc>
      </w:tr>
      <w:tr>
        <w:trPr>
          <w:cantSplit/>
          <w:tblHeader w:val="off"/>
        </w:trPr>
        <w:tc>
          <w:tcPr>
            <w:tcW w:type="dxa" w:w="181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Gris (neutral)</w:t>
            </w:r>
          </w:p>
        </w:tc>
        <w:tc>
          <w:tcPr>
            <w:tcW w:type="dxa" w:w="90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ECEE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 </w:t>
            </w:r>
          </w:p>
        </w:tc>
        <w:tc>
          <w:tcPr>
            <w:tcW w:type="dxa" w:w="664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Normal, Mañana, Tarde, Noche, Egresado, Anulada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5"/>
        <w:gridCol w:w="6945"/>
      </w:tblGrid>
      <w:tr>
        <w:trPr>
          <w:cantSplit/>
          <w:tblHeader/>
        </w:trPr>
        <w:tc>
          <w:tcPr>
            <w:tcW w:type="dxa" w:w="24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Objeto</w:t>
            </w:r>
          </w:p>
        </w:tc>
        <w:tc>
          <w:tcPr>
            <w:tcW w:type="dxa" w:w="69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Estados y su color</w:t>
            </w:r>
          </w:p>
        </w:tc>
      </w:tr>
      <w:tr>
        <w:trPr>
          <w:cantSplit/>
          <w:tblHeader w:val="off"/>
        </w:trPr>
        <w:tc>
          <w:tcPr>
            <w:tcW w:type="dxa" w:w="24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Residente</w:t>
            </w:r>
          </w:p>
        </w:tc>
        <w:tc>
          <w:tcPr>
            <w:tcW w:type="dxa" w:w="69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Estable (verde) · En observación (ámbar) · Delicado (rojo) · Egresado (gris)</w:t>
            </w:r>
          </w:p>
        </w:tc>
      </w:tr>
      <w:tr>
        <w:trPr>
          <w:cantSplit/>
          <w:tblHeader w:val="off"/>
        </w:trPr>
        <w:tc>
          <w:tcPr>
            <w:tcW w:type="dxa" w:w="24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Cita</w:t>
            </w:r>
          </w:p>
        </w:tc>
        <w:tc>
          <w:tcPr>
            <w:tcW w:type="dxa" w:w="69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Programada (ámbar) → Confirmada (azul) → En atención (azul) → Completada (verde) · Cancelada (rojo)</w:t>
            </w:r>
          </w:p>
        </w:tc>
      </w:tr>
      <w:tr>
        <w:trPr>
          <w:cantSplit/>
          <w:tblHeader w:val="off"/>
        </w:trPr>
        <w:tc>
          <w:tcPr>
            <w:tcW w:type="dxa" w:w="24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Laboratorio</w:t>
            </w:r>
          </w:p>
        </w:tc>
        <w:tc>
          <w:tcPr>
            <w:tcW w:type="dxa" w:w="69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Pendiente (ámbar) → En proceso (azul) → Completado (verde) · prioridad Normal (gris), Alta (ámbar), Urgente (rojo)</w:t>
            </w:r>
          </w:p>
        </w:tc>
      </w:tr>
      <w:tr>
        <w:trPr>
          <w:cantSplit/>
          <w:tblHeader w:val="off"/>
        </w:trPr>
        <w:tc>
          <w:tcPr>
            <w:tcW w:type="dxa" w:w="24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Factura</w:t>
            </w:r>
          </w:p>
        </w:tc>
        <w:tc>
          <w:tcPr>
            <w:tcW w:type="dxa" w:w="69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Pendiente (ámbar) · Pagada (verde) · Anulada (gris)</w:t>
            </w:r>
          </w:p>
        </w:tc>
      </w:tr>
      <w:tr>
        <w:trPr>
          <w:cantSplit/>
          <w:tblHeader w:val="off"/>
        </w:trPr>
        <w:tc>
          <w:tcPr>
            <w:tcW w:type="dxa" w:w="24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Medicamento</w:t>
            </w:r>
          </w:p>
        </w:tc>
        <w:tc>
          <w:tcPr>
            <w:tcW w:type="dxa" w:w="69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Stock bajo / Por vencer (ámbar) · Agotado / Vencido (rojo)</w:t>
            </w:r>
          </w:p>
        </w:tc>
      </w:tr>
      <w:tr>
        <w:trPr>
          <w:cantSplit/>
          <w:tblHeader w:val="off"/>
        </w:trPr>
        <w:tc>
          <w:tcPr>
            <w:tcW w:type="dxa" w:w="24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Habitación</w:t>
            </w:r>
          </w:p>
        </w:tc>
        <w:tc>
          <w:tcPr>
            <w:tcW w:type="dxa" w:w="69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Disponible (verde) · Ocupada / Completa (azul) · Mantenimiento (ámbar)</w:t>
            </w:r>
          </w:p>
        </w:tc>
      </w:tr>
      <w:tr>
        <w:trPr>
          <w:cantSplit/>
          <w:tblHeader w:val="off"/>
        </w:trPr>
        <w:tc>
          <w:tcPr>
            <w:tcW w:type="dxa" w:w="24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Personal</w:t>
            </w:r>
          </w:p>
        </w:tc>
        <w:tc>
          <w:tcPr>
            <w:tcW w:type="dxa" w:w="69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Activo (verde) · Vacaciones (ámbar) · Inactivo (rojo)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5. Tipografía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5"/>
        <w:gridCol w:w="4932"/>
        <w:gridCol w:w="2013"/>
      </w:tblGrid>
      <w:tr>
        <w:trPr>
          <w:cantSplit/>
          <w:tblHeader/>
        </w:trPr>
        <w:tc>
          <w:tcPr>
            <w:tcW w:type="dxa" w:w="24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Familia</w:t>
            </w:r>
          </w:p>
        </w:tc>
        <w:tc>
          <w:tcPr>
            <w:tcW w:type="dxa" w:w="493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Pesos</w:t>
            </w:r>
          </w:p>
        </w:tc>
      </w:tr>
      <w:tr>
        <w:trPr>
          <w:cantSplit/>
          <w:tblHeader w:val="off"/>
        </w:trPr>
        <w:tc>
          <w:tcPr>
            <w:tcW w:type="dxa" w:w="24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Fraunces (serif)</w:t>
            </w:r>
          </w:p>
        </w:tc>
        <w:tc>
          <w:tcPr>
            <w:tcW w:type="dxa" w:w="493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Títulos de página, saludo del panel, nombre del asilo en el inicio de sesión</w:t>
            </w:r>
          </w:p>
        </w:tc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500 y 700, normal e itálica</w:t>
            </w:r>
          </w:p>
        </w:tc>
      </w:tr>
      <w:tr>
        <w:trPr>
          <w:cantSplit/>
          <w:tblHeader w:val="off"/>
        </w:trPr>
        <w:tc>
          <w:tcPr>
            <w:tcW w:type="dxa" w:w="24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Inter (sans serif)</w:t>
            </w:r>
          </w:p>
        </w:tc>
        <w:tc>
          <w:tcPr>
            <w:tcW w:type="dxa" w:w="493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Toda la interfaz: menús, tablas, formularios, insignias</w:t>
            </w:r>
          </w:p>
        </w:tc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400, 500, 600, 700 y 800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t xml:space="preserve">Ambas se cargan desde Google Fonts con display=swap; si no hay Internet, se usan Georgia y Segoe UI/Arial como respaldo.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8"/>
        <w:gridCol w:w="2818"/>
        <w:gridCol w:w="2214"/>
      </w:tblGrid>
      <w:tr>
        <w:trPr>
          <w:cantSplit/>
          <w:tblHeader/>
        </w:trPr>
        <w:tc>
          <w:tcPr>
            <w:tcW w:type="dxa" w:w="432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28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Tamaño</w:t>
            </w:r>
          </w:p>
        </w:tc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Peso</w:t>
            </w:r>
          </w:p>
        </w:tc>
      </w:tr>
      <w:tr>
        <w:trPr>
          <w:cantSplit/>
          <w:tblHeader w:val="off"/>
        </w:trPr>
        <w:tc>
          <w:tcPr>
            <w:tcW w:type="dxa" w:w="432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Nombre en la pantalla de inicio</w:t>
            </w:r>
          </w:p>
        </w:tc>
        <w:tc>
          <w:tcPr>
            <w:tcW w:type="dxa" w:w="28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clamp(2.8 rem, 5.4 vw, 4.6 rem)</w:t>
            </w:r>
          </w:p>
        </w:tc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700</w:t>
            </w:r>
          </w:p>
        </w:tc>
      </w:tr>
      <w:tr>
        <w:trPr>
          <w:cantSplit/>
          <w:tblHeader w:val="off"/>
        </w:trPr>
        <w:tc>
          <w:tcPr>
            <w:tcW w:type="dxa" w:w="432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Títulos de página y saludo</w:t>
            </w:r>
          </w:p>
        </w:tc>
        <w:tc>
          <w:tcPr>
            <w:tcW w:type="dxa" w:w="28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≈ 2 rem (Fraunces)</w:t>
            </w:r>
          </w:p>
        </w:tc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700</w:t>
            </w:r>
          </w:p>
        </w:tc>
      </w:tr>
      <w:tr>
        <w:trPr>
          <w:cantSplit/>
          <w:tblHeader w:val="off"/>
        </w:trPr>
        <w:tc>
          <w:tcPr>
            <w:tcW w:type="dxa" w:w="432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Texto base</w:t>
            </w:r>
          </w:p>
        </w:tc>
        <w:tc>
          <w:tcPr>
            <w:tcW w:type="dxa" w:w="28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1 rem (16 px)</w:t>
            </w:r>
          </w:p>
        </w:tc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</w:t>
            </w:r>
          </w:p>
        </w:tc>
      </w:tr>
      <w:tr>
        <w:trPr>
          <w:cantSplit/>
          <w:tblHeader w:val="off"/>
        </w:trPr>
        <w:tc>
          <w:tcPr>
            <w:tcW w:type="dxa" w:w="432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Texto de tablas y formularios</w:t>
            </w:r>
          </w:p>
        </w:tc>
        <w:tc>
          <w:tcPr>
            <w:tcW w:type="dxa" w:w="28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0.84 – 0.95 rem</w:t>
            </w:r>
          </w:p>
        </w:tc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 – 600</w:t>
            </w:r>
          </w:p>
        </w:tc>
      </w:tr>
      <w:tr>
        <w:trPr>
          <w:cantSplit/>
          <w:tblHeader w:val="off"/>
        </w:trPr>
        <w:tc>
          <w:tcPr>
            <w:tcW w:type="dxa" w:w="432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Etiquetas del menú (PRINCIPAL, ATENCIÓN…)</w:t>
            </w:r>
          </w:p>
        </w:tc>
        <w:tc>
          <w:tcPr>
            <w:tcW w:type="dxa" w:w="28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 – 0.74 rem, mayúsculas</w:t>
            </w:r>
          </w:p>
        </w:tc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800</w:t>
            </w:r>
          </w:p>
        </w:tc>
      </w:tr>
      <w:tr>
        <w:trPr>
          <w:cantSplit/>
          <w:tblHeader w:val="off"/>
        </w:trPr>
        <w:tc>
          <w:tcPr>
            <w:tcW w:type="dxa" w:w="432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Insignias</w:t>
            </w:r>
          </w:p>
        </w:tc>
        <w:tc>
          <w:tcPr>
            <w:tcW w:type="dxa" w:w="281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 rem</w:t>
            </w:r>
          </w:p>
        </w:tc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800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6. Espaciado, radios, sombras y foco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8"/>
        <w:gridCol w:w="5032"/>
      </w:tblGrid>
      <w:tr>
        <w:trPr>
          <w:cantSplit/>
          <w:tblHeader/>
        </w:trPr>
        <w:tc>
          <w:tcPr>
            <w:tcW w:type="dxa" w:w="432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503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rPr>
          <w:cantSplit/>
          <w:tblHeader w:val="off"/>
        </w:trPr>
        <w:tc>
          <w:tcPr>
            <w:tcW w:type="dxa" w:w="432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Separación base entre bloques (--gap)</w:t>
            </w:r>
          </w:p>
        </w:tc>
        <w:tc>
          <w:tcPr>
            <w:tcW w:type="dxa" w:w="503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20 px</w:t>
            </w:r>
          </w:p>
        </w:tc>
      </w:tr>
      <w:tr>
        <w:trPr>
          <w:cantSplit/>
          <w:tblHeader w:val="off"/>
        </w:trPr>
        <w:tc>
          <w:tcPr>
            <w:tcW w:type="dxa" w:w="432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Radio de tarjetas y paneles (--r)</w:t>
            </w:r>
          </w:p>
        </w:tc>
        <w:tc>
          <w:tcPr>
            <w:tcW w:type="dxa" w:w="503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16 px</w:t>
            </w:r>
          </w:p>
        </w:tc>
      </w:tr>
      <w:tr>
        <w:trPr>
          <w:cantSplit/>
          <w:tblHeader w:val="off"/>
        </w:trPr>
        <w:tc>
          <w:tcPr>
            <w:tcW w:type="dxa" w:w="432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Radio de botones y campos</w:t>
            </w:r>
          </w:p>
        </w:tc>
        <w:tc>
          <w:tcPr>
            <w:tcW w:type="dxa" w:w="503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10 – 12 px</w:t>
            </w:r>
          </w:p>
        </w:tc>
      </w:tr>
      <w:tr>
        <w:trPr>
          <w:cantSplit/>
          <w:tblHeader w:val="off"/>
        </w:trPr>
        <w:tc>
          <w:tcPr>
            <w:tcW w:type="dxa" w:w="432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Radio de insignias</w:t>
            </w:r>
          </w:p>
        </w:tc>
        <w:tc>
          <w:tcPr>
            <w:tcW w:type="dxa" w:w="503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20 px (píldora)</w:t>
            </w:r>
          </w:p>
        </w:tc>
      </w:tr>
      <w:tr>
        <w:trPr>
          <w:cantSplit/>
          <w:tblHeader w:val="off"/>
        </w:trPr>
        <w:tc>
          <w:tcPr>
            <w:tcW w:type="dxa" w:w="432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Sombra de tarjetas (--shadow)</w:t>
            </w:r>
          </w:p>
        </w:tc>
        <w:tc>
          <w:tcPr>
            <w:tcW w:type="dxa" w:w="503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0 16px 40px #232B5C con 11 % de opacidad</w:t>
            </w:r>
          </w:p>
        </w:tc>
      </w:tr>
      <w:tr>
        <w:trPr>
          <w:cantSplit/>
          <w:tblHeader w:val="off"/>
        </w:trPr>
        <w:tc>
          <w:tcPr>
            <w:tcW w:type="dxa" w:w="432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Indicador de foco</w:t>
            </w:r>
          </w:p>
        </w:tc>
        <w:tc>
          <w:tcPr>
            <w:tcW w:type="dxa" w:w="503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Contorno coral de 3 px (#F7A58C) con separación de 2 px en :focus-visible</w:t>
            </w:r>
          </w:p>
        </w:tc>
      </w:tr>
      <w:tr>
        <w:trPr>
          <w:cantSplit/>
          <w:tblHeader w:val="off"/>
        </w:trPr>
        <w:tc>
          <w:tcPr>
            <w:tcW w:type="dxa" w:w="432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Movimiento reducido</w:t>
            </w:r>
          </w:p>
        </w:tc>
        <w:tc>
          <w:tcPr>
            <w:tcW w:type="dxa" w:w="503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Se desactivan animaciones con prefers-reduced-motion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7. Responsividad y uso en tableta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4"/>
        <w:gridCol w:w="2214"/>
        <w:gridCol w:w="4932"/>
      </w:tblGrid>
      <w:tr>
        <w:trPr>
          <w:cantSplit/>
          <w:tblHeader/>
        </w:trPr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Punto de corte</w:t>
            </w:r>
          </w:p>
        </w:tc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Ancho</w:t>
            </w:r>
          </w:p>
        </w:tc>
        <w:tc>
          <w:tcPr>
            <w:tcW w:type="dxa" w:w="493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Comportamiento</w:t>
            </w:r>
          </w:p>
        </w:tc>
      </w:tr>
      <w:tr>
        <w:trPr>
          <w:cantSplit/>
          <w:tblHeader w:val="off"/>
        </w:trPr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Escritorio</w:t>
            </w:r>
          </w:p>
        </w:tc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&gt; 1100 px</w:t>
            </w:r>
          </w:p>
        </w:tc>
        <w:tc>
          <w:tcPr>
            <w:tcW w:type="dxa" w:w="493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Menú lateral completo con textos; tarjetas en 4 columnas</w:t>
            </w:r>
          </w:p>
        </w:tc>
      </w:tr>
      <w:tr>
        <w:trPr>
          <w:cantSplit/>
          <w:tblHeader w:val="off"/>
        </w:trPr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Tableta</w:t>
            </w:r>
          </w:p>
        </w:tc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581 – 1100 px</w:t>
            </w:r>
          </w:p>
        </w:tc>
        <w:tc>
          <w:tcPr>
            <w:tcW w:type="dxa" w:w="493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Menú reducido a barra de íconos; tarjetas en 2 columnas</w:t>
            </w:r>
          </w:p>
        </w:tc>
      </w:tr>
      <w:tr>
        <w:trPr>
          <w:cantSplit/>
          <w:tblHeader w:val="off"/>
        </w:trPr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Tableta vertical</w:t>
            </w:r>
          </w:p>
        </w:tc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≤ 820 – 920 px</w:t>
            </w:r>
          </w:p>
        </w:tc>
        <w:tc>
          <w:tcPr>
            <w:tcW w:type="dxa" w:w="493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Tablas con desplazamiento interno y formularios en una columna</w:t>
            </w:r>
          </w:p>
        </w:tc>
      </w:tr>
      <w:tr>
        <w:trPr>
          <w:cantSplit/>
          <w:tblHeader w:val="off"/>
        </w:trPr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Teléfono</w:t>
            </w:r>
          </w:p>
        </w:tc>
        <w:tc>
          <w:tcPr>
            <w:tcW w:type="dxa" w:w="2214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≤ 580 px (probado a 360 px)</w:t>
            </w:r>
          </w:p>
        </w:tc>
        <w:tc>
          <w:tcPr>
            <w:tcW w:type="dxa" w:w="493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Barra inferior con 3–4 módulos y «Más»; sin desplazamiento horizontal (CP-27)</w:t>
            </w:r>
          </w:p>
        </w:tc>
      </w:tr>
    </w:tbl>
    <w:p>
      <w:pPr>
        <w:spacing w:after="120"/>
      </w:pPr>
    </w:p>
    <w:p>
      <w:pPr>
        <w:spacing w:after="60" w:before="120"/>
        <w:jc w:val="center"/>
      </w:pPr>
      <w:r>
        <w:drawing>
          <wp:inline distT="0" distB="0" distL="0" distR="0">
            <wp:extent cx="2190750" cy="4629150"/>
            <wp:effectExtent t="0" r="0" b="0" l="0"/>
            <wp:docPr id="2" name="fig" descr="Figura 2. Panel del Administrador a 360 px" title="Figura 2. Panel del Administrador a 360 p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6A85"/>
          <w:sz w:val="18"/>
          <w:szCs w:val="18"/>
        </w:rPr>
        <w:t xml:space="preserve">Figura 2. Panel del Administrador a 360 px</w:t>
      </w:r>
    </w:p>
    <w:p>
      <w:pPr>
        <w:pStyle w:val="Heading1"/>
        <w:pageBreakBefore/>
      </w:pPr>
      <w:r>
        <w:t xml:space="preserve">8. Iconografía</w:t>
      </w:r>
    </w:p>
    <w:p>
      <w:pPr>
        <w:spacing w:after="120" w:line="276"/>
        <w:jc w:val="both"/>
      </w:pPr>
      <w:r>
        <w:t xml:space="preserve">Los íconos son trazos SVG propios de 24 × 24 px con línea de 2 px, definidos en js/app.js (objeto SVGP): grid, users, user, calendar, calplus, staff, flask, pill, medkit, bed, receipt, chart, shield, heart, money, check, alert, clock, hourglass, tool, download, logout, cake, activity, search, sun, moon, arrow, printer y refresh. Se dibujan con el color del texto (currentColor) y siempre acompañan una etiqueta o un title accesible.</w:t>
      </w:r>
    </w:p>
    <w:p>
      <w:pPr>
        <w:pStyle w:val="Heading1"/>
        <w:pageBreakBefore/>
      </w:pPr>
      <w:r>
        <w:t xml:space="preserve">9. Biblioteca de componentes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5"/>
        <w:gridCol w:w="6945"/>
      </w:tblGrid>
      <w:tr>
        <w:trPr>
          <w:cantSplit/>
          <w:tblHeader/>
        </w:trPr>
        <w:tc>
          <w:tcPr>
            <w:tcW w:type="dxa" w:w="24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Categoría</w:t>
            </w:r>
          </w:p>
        </w:tc>
        <w:tc>
          <w:tcPr>
            <w:tcW w:type="dxa" w:w="69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Componentes</w:t>
            </w:r>
          </w:p>
        </w:tc>
      </w:tr>
      <w:tr>
        <w:trPr>
          <w:cantSplit/>
          <w:tblHeader w:val="off"/>
        </w:trPr>
        <w:tc>
          <w:tcPr>
            <w:tcW w:type="dxa" w:w="24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Navegación</w:t>
            </w:r>
          </w:p>
        </w:tc>
        <w:tc>
          <w:tcPr>
            <w:tcW w:type="dxa" w:w="69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Menú lateral agrupado, migas (ícono + módulo), barra inferior móvil, menú del usuario</w:t>
            </w:r>
          </w:p>
        </w:tc>
      </w:tr>
      <w:tr>
        <w:trPr>
          <w:cantSplit/>
          <w:tblHeader w:val="off"/>
        </w:trPr>
        <w:tc>
          <w:tcPr>
            <w:tcW w:type="dxa" w:w="24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Indicadores</w:t>
            </w:r>
          </w:p>
        </w:tc>
        <w:tc>
          <w:tcPr>
            <w:tcW w:type="dxa" w:w="69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Tarjeta de acceso rápido, tarjeta de indicador con barra de progreso, línea de tiempo de la agenda</w:t>
            </w:r>
          </w:p>
        </w:tc>
      </w:tr>
      <w:tr>
        <w:trPr>
          <w:cantSplit/>
          <w:tblHeader w:val="off"/>
        </w:trPr>
        <w:tc>
          <w:tcPr>
            <w:tcW w:type="dxa" w:w="24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Datos</w:t>
            </w:r>
          </w:p>
        </w:tc>
        <w:tc>
          <w:tcPr>
            <w:tcW w:type="dxa" w:w="69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Tabla con buscador y filtros, insignia de estado, avatar con iniciales, caja de fecha (día/mes)</w:t>
            </w:r>
          </w:p>
        </w:tc>
      </w:tr>
      <w:tr>
        <w:trPr>
          <w:cantSplit/>
          <w:tblHeader w:val="off"/>
        </w:trPr>
        <w:tc>
          <w:tcPr>
            <w:tcW w:type="dxa" w:w="24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Formularios</w:t>
            </w:r>
          </w:p>
        </w:tc>
        <w:tc>
          <w:tcPr>
            <w:tcW w:type="dxa" w:w="69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Campo con ícono, selector, casillas, modal con validación, botones principal, secundario y fantasma</w:t>
            </w:r>
          </w:p>
        </w:tc>
      </w:tr>
      <w:tr>
        <w:trPr>
          <w:cantSplit/>
          <w:tblHeader w:val="off"/>
        </w:trPr>
        <w:tc>
          <w:tcPr>
            <w:tcW w:type="dxa" w:w="24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Avisos</w:t>
            </w:r>
          </w:p>
        </w:tc>
        <w:tc>
          <w:tcPr>
            <w:tcW w:type="dxa" w:w="69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Mensaje emergente (toast), panel de notificaciones, estado vacío («Sin registros»)</w:t>
            </w:r>
          </w:p>
        </w:tc>
      </w:tr>
      <w:tr>
        <w:trPr>
          <w:cantSplit/>
          <w:tblHeader w:val="off"/>
        </w:trPr>
        <w:tc>
          <w:tcPr>
            <w:tcW w:type="dxa" w:w="24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Documentos</w:t>
            </w:r>
          </w:p>
        </w:tc>
        <w:tc>
          <w:tcPr>
            <w:tcW w:type="dxa" w:w="69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Ficha imprimible, recibo de farmacia, recibo de pago, vista previa de reportes</w:t>
            </w:r>
          </w:p>
        </w:tc>
      </w:tr>
    </w:tbl>
    <w:p>
      <w:pPr>
        <w:spacing w:after="120"/>
      </w:pPr>
    </w:p>
    <w:p>
      <w:pPr>
        <w:spacing w:after="60" w:before="120"/>
        <w:jc w:val="center"/>
      </w:pPr>
      <w:r>
        <w:drawing>
          <wp:inline distT="0" distB="0" distL="0" distR="0">
            <wp:extent cx="5762625" cy="3238500"/>
            <wp:effectExtent t="0" r="0" b="0" l="0"/>
            <wp:docPr id="3" name="fig" descr="Figura 3. Componentes del panel: accesos rápidos, indicadores y agenda" title="Figura 3. Componentes del panel: accesos rápidos, indicadores y agen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6A85"/>
          <w:sz w:val="18"/>
          <w:szCs w:val="18"/>
        </w:rPr>
        <w:t xml:space="preserve">Figura 3. Componentes del panel: accesos rápidos, indicadores y agenda</w:t>
      </w:r>
    </w:p>
    <w:p>
      <w:pPr>
        <w:pStyle w:val="Heading1"/>
        <w:pageBreakBefore/>
      </w:pPr>
      <w:r>
        <w:t xml:space="preserve">10. Navegación y menús por 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0"/>
        <w:gridCol w:w="2315"/>
        <w:gridCol w:w="1409"/>
        <w:gridCol w:w="1308"/>
        <w:gridCol w:w="1409"/>
        <w:gridCol w:w="1409"/>
      </w:tblGrid>
      <w:tr>
        <w:trPr>
          <w:cantSplit/>
          <w:tblHeader/>
        </w:trPr>
        <w:tc>
          <w:tcPr>
            <w:tcW w:type="dxa" w:w="15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Módulos</w:t>
            </w:r>
          </w:p>
        </w:tc>
        <w:tc>
          <w:tcPr>
            <w:tcW w:type="dxa" w:w="140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13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Médico</w:t>
            </w:r>
          </w:p>
        </w:tc>
        <w:tc>
          <w:tcPr>
            <w:tcW w:type="dxa" w:w="140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Laboratorio</w:t>
            </w:r>
          </w:p>
        </w:tc>
        <w:tc>
          <w:tcPr>
            <w:tcW w:type="dxa" w:w="140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Paciente</w:t>
            </w:r>
          </w:p>
        </w:tc>
      </w:tr>
      <w:tr>
        <w:trPr>
          <w:cantSplit/>
          <w:tblHeader w:val="off"/>
        </w:trPr>
        <w:tc>
          <w:tcPr>
            <w:tcW w:type="dxa" w:w="15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Principal</w:t>
            </w:r>
          </w:p>
        </w:tc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Inicio</w:t>
            </w:r>
          </w:p>
        </w:tc>
        <w:tc>
          <w:tcPr>
            <w:tcW w:type="dxa" w:w="140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13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140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140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</w:tr>
      <w:tr>
        <w:trPr>
          <w:cantSplit/>
          <w:tblHeader w:val="off"/>
        </w:trPr>
        <w:tc>
          <w:tcPr>
            <w:tcW w:type="dxa" w:w="15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Principal</w:t>
            </w:r>
          </w:p>
        </w:tc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Mi expediente</w:t>
            </w:r>
          </w:p>
        </w:tc>
        <w:tc>
          <w:tcPr>
            <w:tcW w:type="dxa" w:w="140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3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0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0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</w:tr>
      <w:tr>
        <w:trPr>
          <w:cantSplit/>
          <w:tblHeader w:val="off"/>
        </w:trPr>
        <w:tc>
          <w:tcPr>
            <w:tcW w:type="dxa" w:w="15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Atención</w:t>
            </w:r>
          </w:p>
        </w:tc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Residentes</w:t>
            </w:r>
          </w:p>
        </w:tc>
        <w:tc>
          <w:tcPr>
            <w:tcW w:type="dxa" w:w="140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13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140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140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15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Atención</w:t>
            </w:r>
          </w:p>
        </w:tc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Citas médicas</w:t>
            </w:r>
          </w:p>
        </w:tc>
        <w:tc>
          <w:tcPr>
            <w:tcW w:type="dxa" w:w="140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13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140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0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15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Atención</w:t>
            </w:r>
          </w:p>
        </w:tc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Laboratorio</w:t>
            </w:r>
          </w:p>
        </w:tc>
        <w:tc>
          <w:tcPr>
            <w:tcW w:type="dxa" w:w="140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13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140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140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15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Atención</w:t>
            </w:r>
          </w:p>
        </w:tc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Medicamentos</w:t>
            </w:r>
          </w:p>
        </w:tc>
        <w:tc>
          <w:tcPr>
            <w:tcW w:type="dxa" w:w="140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13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140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140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15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Administración</w:t>
            </w:r>
          </w:p>
        </w:tc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Personal médico</w:t>
            </w:r>
          </w:p>
        </w:tc>
        <w:tc>
          <w:tcPr>
            <w:tcW w:type="dxa" w:w="140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13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0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0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15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Administración</w:t>
            </w:r>
          </w:p>
        </w:tc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Farmacia</w:t>
            </w:r>
          </w:p>
        </w:tc>
        <w:tc>
          <w:tcPr>
            <w:tcW w:type="dxa" w:w="140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13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140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140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</w:tr>
      <w:tr>
        <w:trPr>
          <w:cantSplit/>
          <w:tblHeader w:val="off"/>
        </w:trPr>
        <w:tc>
          <w:tcPr>
            <w:tcW w:type="dxa" w:w="15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Administración</w:t>
            </w:r>
          </w:p>
        </w:tc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Habitaciones</w:t>
            </w:r>
          </w:p>
        </w:tc>
        <w:tc>
          <w:tcPr>
            <w:tcW w:type="dxa" w:w="140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13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140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0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15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Administración</w:t>
            </w:r>
          </w:p>
        </w:tc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Facturación</w:t>
            </w:r>
          </w:p>
        </w:tc>
        <w:tc>
          <w:tcPr>
            <w:tcW w:type="dxa" w:w="140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13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0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0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15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Sistema</w:t>
            </w:r>
          </w:p>
        </w:tc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Reportes</w:t>
            </w:r>
          </w:p>
        </w:tc>
        <w:tc>
          <w:tcPr>
            <w:tcW w:type="dxa" w:w="140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13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140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140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15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Sistema</w:t>
            </w:r>
          </w:p>
        </w:tc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Usuarios</w:t>
            </w:r>
          </w:p>
        </w:tc>
        <w:tc>
          <w:tcPr>
            <w:tcW w:type="dxa" w:w="140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Sí</w:t>
            </w:r>
          </w:p>
        </w:tc>
        <w:tc>
          <w:tcPr>
            <w:tcW w:type="dxa" w:w="1308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0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0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</w:p>
    <w:p>
      <w:pPr>
        <w:spacing w:after="60" w:before="120"/>
        <w:jc w:val="center"/>
      </w:pPr>
      <w:r>
        <w:drawing>
          <wp:inline distT="0" distB="0" distL="0" distR="0">
            <wp:extent cx="5305425" cy="5095875"/>
            <wp:effectExtent t="0" r="0" b="0" l="0"/>
            <wp:docPr id="4" name="fig" descr="Figura 4. Navegación por rol" title="Figura 4. Navegación por r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6A85"/>
          <w:sz w:val="18"/>
          <w:szCs w:val="18"/>
        </w:rPr>
        <w:t xml:space="preserve">Figura 4. Navegación por rol</w:t>
      </w:r>
    </w:p>
    <w:p>
      <w:pPr>
        <w:pStyle w:val="Heading1"/>
        <w:pageBreakBefore/>
      </w:pPr>
      <w:r>
        <w:t xml:space="preserve">11. Trazabilidad con los requerimientos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39"/>
        <w:gridCol w:w="3321"/>
      </w:tblGrid>
      <w:tr>
        <w:trPr>
          <w:cantSplit/>
          <w:tblHeader/>
        </w:trPr>
        <w:tc>
          <w:tcPr>
            <w:tcW w:type="dxa" w:w="603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Decisión visual</w:t>
            </w:r>
          </w:p>
        </w:tc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Requerimiento</w:t>
            </w:r>
          </w:p>
        </w:tc>
      </w:tr>
      <w:tr>
        <w:trPr>
          <w:cantSplit/>
          <w:tblHeader w:val="off"/>
        </w:trPr>
        <w:tc>
          <w:tcPr>
            <w:tcW w:type="dxa" w:w="603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Menú por rol y máximo 2 clics</w:t>
            </w:r>
          </w:p>
        </w:tc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RNF-02, RNF-09</w:t>
            </w:r>
          </w:p>
        </w:tc>
      </w:tr>
      <w:tr>
        <w:trPr>
          <w:cantSplit/>
          <w:tblHeader w:val="off"/>
        </w:trPr>
        <w:tc>
          <w:tcPr>
            <w:tcW w:type="dxa" w:w="603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Mensajes de error junto al campo en español</w:t>
            </w:r>
          </w:p>
        </w:tc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RNF-02</w:t>
            </w:r>
          </w:p>
        </w:tc>
      </w:tr>
      <w:tr>
        <w:trPr>
          <w:cantSplit/>
          <w:tblHeader w:val="off"/>
        </w:trPr>
        <w:tc>
          <w:tcPr>
            <w:tcW w:type="dxa" w:w="603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Diseño de 360 a 1920 px</w:t>
            </w:r>
          </w:p>
        </w:tc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RNF-03</w:t>
            </w:r>
          </w:p>
        </w:tc>
      </w:tr>
      <w:tr>
        <w:trPr>
          <w:cantSplit/>
          <w:tblHeader w:val="off"/>
        </w:trPr>
        <w:tc>
          <w:tcPr>
            <w:tcW w:type="dxa" w:w="603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Insignias con texto y color</w:t>
            </w:r>
          </w:p>
        </w:tc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RNF-02</w:t>
            </w:r>
          </w:p>
        </w:tc>
      </w:tr>
      <w:tr>
        <w:trPr>
          <w:cantSplit/>
          <w:tblHeader w:val="off"/>
        </w:trPr>
        <w:tc>
          <w:tcPr>
            <w:tcW w:type="dxa" w:w="603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Alertas de signos y de inventario en el panel</w:t>
            </w:r>
          </w:p>
        </w:tc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RF-13, RF-16, RF-10</w:t>
            </w:r>
          </w:p>
        </w:tc>
      </w:tr>
      <w:tr>
        <w:trPr>
          <w:cantSplit/>
          <w:tblHeader w:val="off"/>
        </w:trPr>
        <w:tc>
          <w:tcPr>
            <w:tcW w:type="dxa" w:w="603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Pantalla de contraseña temporal y sin credenciales visibles</w:t>
            </w:r>
          </w:p>
        </w:tc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RF-01, RNF-08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12. Conclusiones</w:t>
      </w:r>
    </w:p>
    <w:p>
      <w:pPr>
        <w:spacing w:after="120" w:line="276"/>
        <w:jc w:val="both"/>
      </w:pPr>
      <w:r>
        <w:t xml:space="preserve">El sistema visual —índigo profundo para la estructura, coral para la acción, Inter para leer y Fraunces para dar calidez— se aplica de forma consistente en las 20 pantallas. El texto principal, el menú, los enlaces y la mayoría de insignias cumplen el contraste AA de WCAG (4.5:1). Todas las insignias cumplen AA: el 30/10/2026 se oscureció el texto verde de #3F7D5C a #366F51 (de 4.24:1 a 5.13:1), el rojo de #BD3F4A a #A8363F (de 4.33:1 a 5.28:1) y el fondo de la insignia de cumpleaños de #E2603F a #B8482B (de 3.51:1 a 5.25:1). Como los estados siempre llevan texto, se reconocen aunque no se distinga el color.</w:t>
      </w:r>
    </w:p>
    <w:sectPr>
      <w:headerReference w:type="default" r:id="rId6"/>
      <w:footerReference w:type="default" r:id="rId7"/>
      <w:pgSz w:w="12240" w:h="15840" w:orient="portrait"/>
      <w:pgMar w:top="1440" w:right="1440" w:bottom="1300" w:left="1440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6A85"/>
        <w:sz w:val="16"/>
        <w:szCs w:val="16"/>
      </w:rPr>
      <w:t xml:space="preserve">Página </w:t>
    </w:r>
    <w:r>
      <w:rPr>
        <w:color w:val="646A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CE8" w:sz="4" w:space="4"/>
      </w:pBdr>
      <w:jc w:val="right"/>
    </w:pPr>
    <w:r>
      <w:rPr>
        <w:color w:val="646A85"/>
        <w:sz w:val="16"/>
        <w:szCs w:val="16"/>
      </w:rPr>
      <w:t xml:space="preserve">Manual de Diseño Visual · Asilo «Cabeza de Algodón»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232B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4651C9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232B5C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23e16cdec7c550486ff82957f63890981ef24a55.jpg"/><Relationship Id="rId10" Type="http://schemas.openxmlformats.org/officeDocument/2006/relationships/image" Target="media/35a2766dfb0bc6ecb2f9c60cd3759842af9c5f80.jpg"/><Relationship Id="rId11" Type="http://schemas.openxmlformats.org/officeDocument/2006/relationships/image" Target="media/d92ab432a484a326ea9e40ed03991e3fdca69ab8.jpg"/><Relationship Id="rId12" Type="http://schemas.openxmlformats.org/officeDocument/2006/relationships/image" Target="media/af3518cef0b2c73c358e3a65f891507e8e0ebde0.jp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Diseño Visual</dc:title>
  <dc:creator>Gilmer Iván Ortiz Samayoa</dc:creator>
  <dc:description>Manual de Diseño Visual</dc:description>
  <cp:lastModifiedBy>Un-named</cp:lastModifiedBy>
  <cp:revision>1</cp:revision>
  <dcterms:created xsi:type="dcterms:W3CDTF">2026-10-31T06:44:02.428Z</dcterms:created>
  <dcterms:modified xsi:type="dcterms:W3CDTF">2026-10-31T06:44:02.429Z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